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F35F2" w14:textId="3CD3DF51" w:rsidR="002D41A9" w:rsidRPr="007D2FC0" w:rsidRDefault="002D41A9" w:rsidP="002D41A9">
      <w:pPr>
        <w:jc w:val="center"/>
        <w:rPr>
          <w:rFonts w:ascii="Garamond" w:hAnsi="Garamond"/>
          <w:b/>
          <w:bCs/>
          <w:sz w:val="36"/>
          <w:szCs w:val="36"/>
        </w:rPr>
      </w:pPr>
      <w:r>
        <w:rPr>
          <w:rFonts w:ascii="Garamond" w:hAnsi="Garamond"/>
          <w:b/>
          <w:bCs/>
          <w:sz w:val="36"/>
          <w:szCs w:val="36"/>
        </w:rPr>
        <w:t>The Federal Income Tax: Rac</w:t>
      </w:r>
      <w:r w:rsidR="004312D0">
        <w:rPr>
          <w:rFonts w:ascii="Garamond" w:hAnsi="Garamond"/>
          <w:b/>
          <w:bCs/>
          <w:sz w:val="36"/>
          <w:szCs w:val="36"/>
        </w:rPr>
        <w:t>ially</w:t>
      </w:r>
      <w:r w:rsidR="00B67F72">
        <w:rPr>
          <w:rFonts w:ascii="Garamond" w:hAnsi="Garamond"/>
          <w:b/>
          <w:bCs/>
          <w:sz w:val="36"/>
          <w:szCs w:val="36"/>
        </w:rPr>
        <w:t xml:space="preserve"> </w:t>
      </w:r>
      <w:r>
        <w:rPr>
          <w:rFonts w:ascii="Garamond" w:hAnsi="Garamond"/>
          <w:b/>
          <w:bCs/>
          <w:sz w:val="36"/>
          <w:szCs w:val="36"/>
        </w:rPr>
        <w:t xml:space="preserve">Blind </w:t>
      </w:r>
      <w:r w:rsidR="000A75F6">
        <w:rPr>
          <w:rFonts w:ascii="Garamond" w:hAnsi="Garamond"/>
          <w:b/>
          <w:bCs/>
          <w:sz w:val="36"/>
          <w:szCs w:val="36"/>
        </w:rPr>
        <w:t>b</w:t>
      </w:r>
      <w:r>
        <w:rPr>
          <w:rFonts w:ascii="Garamond" w:hAnsi="Garamond"/>
          <w:b/>
          <w:bCs/>
          <w:sz w:val="36"/>
          <w:szCs w:val="36"/>
        </w:rPr>
        <w:t>ut Not Rac</w:t>
      </w:r>
      <w:r w:rsidR="004312D0">
        <w:rPr>
          <w:rFonts w:ascii="Garamond" w:hAnsi="Garamond"/>
          <w:b/>
          <w:bCs/>
          <w:sz w:val="36"/>
          <w:szCs w:val="36"/>
        </w:rPr>
        <w:t>iall</w:t>
      </w:r>
      <w:r w:rsidR="00B67F72">
        <w:rPr>
          <w:rFonts w:ascii="Garamond" w:hAnsi="Garamond"/>
          <w:b/>
          <w:bCs/>
          <w:sz w:val="36"/>
          <w:szCs w:val="36"/>
        </w:rPr>
        <w:t xml:space="preserve">y </w:t>
      </w:r>
      <w:r>
        <w:rPr>
          <w:rFonts w:ascii="Garamond" w:hAnsi="Garamond"/>
          <w:b/>
          <w:bCs/>
          <w:sz w:val="36"/>
          <w:szCs w:val="36"/>
        </w:rPr>
        <w:t>Neutral</w:t>
      </w:r>
    </w:p>
    <w:p w14:paraId="49952E0D" w14:textId="0094B67A" w:rsidR="002D41A9" w:rsidRPr="007D2FC0" w:rsidRDefault="002D41A9" w:rsidP="002D41A9">
      <w:pPr>
        <w:keepNext/>
        <w:keepLines/>
        <w:snapToGrid w:val="0"/>
        <w:jc w:val="center"/>
        <w:rPr>
          <w:rFonts w:ascii="Garamond" w:hAnsi="Garamond"/>
          <w:b/>
          <w:bCs/>
        </w:rPr>
      </w:pPr>
      <w:r w:rsidRPr="007D2FC0">
        <w:rPr>
          <w:rFonts w:ascii="Garamond" w:hAnsi="Garamond"/>
          <w:b/>
          <w:bCs/>
        </w:rPr>
        <w:t>SYMPOSIUM PROGRAM</w:t>
      </w:r>
    </w:p>
    <w:p w14:paraId="5B46927A" w14:textId="3CB5EEB7" w:rsidR="002D41A9" w:rsidRPr="007D2FC0" w:rsidRDefault="004C44BD" w:rsidP="00B50617">
      <w:pPr>
        <w:jc w:val="center"/>
        <w:rPr>
          <w:rFonts w:ascii="Garamond" w:hAnsi="Garamond"/>
          <w:b/>
          <w:bCs/>
        </w:rPr>
      </w:pPr>
      <w:r>
        <w:rPr>
          <w:rFonts w:ascii="Garamond" w:hAnsi="Garamond"/>
          <w:b/>
          <w:bCs/>
        </w:rPr>
        <w:t xml:space="preserve">Skadden Conference Room, </w:t>
      </w:r>
      <w:r w:rsidR="00E21B77">
        <w:rPr>
          <w:rFonts w:ascii="Garamond" w:hAnsi="Garamond"/>
          <w:b/>
          <w:bCs/>
        </w:rPr>
        <w:t>Washington, DC;</w:t>
      </w:r>
      <w:r>
        <w:rPr>
          <w:rFonts w:ascii="Garamond" w:hAnsi="Garamond"/>
          <w:b/>
          <w:bCs/>
        </w:rPr>
        <w:t xml:space="preserve"> February 24,</w:t>
      </w:r>
      <w:r w:rsidR="00E21B77">
        <w:rPr>
          <w:rFonts w:ascii="Garamond" w:hAnsi="Garamond"/>
          <w:b/>
          <w:bCs/>
        </w:rPr>
        <w:t xml:space="preserve"> 2023</w:t>
      </w:r>
    </w:p>
    <w:p w14:paraId="3D6E39A6" w14:textId="77777777" w:rsidR="002D41A9" w:rsidRPr="007D2FC0" w:rsidRDefault="002D41A9" w:rsidP="002D41A9">
      <w:pPr>
        <w:rPr>
          <w:rFonts w:ascii="Garamond" w:hAnsi="Garamond"/>
          <w:b/>
          <w:bCs/>
        </w:rPr>
      </w:pPr>
    </w:p>
    <w:p w14:paraId="58BF9E41" w14:textId="3D569652" w:rsidR="00C925B2" w:rsidRDefault="00C925B2" w:rsidP="00C925B2">
      <w:pPr>
        <w:keepNext/>
        <w:keepLines/>
        <w:outlineLvl w:val="1"/>
        <w:rPr>
          <w:rFonts w:ascii="Garamond" w:hAnsi="Garamond"/>
        </w:rPr>
      </w:pPr>
      <w:r>
        <w:rPr>
          <w:rFonts w:ascii="Garamond" w:hAnsi="Garamond"/>
        </w:rPr>
        <w:t>8</w:t>
      </w:r>
      <w:r w:rsidRPr="007D2FC0">
        <w:rPr>
          <w:rFonts w:ascii="Garamond" w:hAnsi="Garamond"/>
        </w:rPr>
        <w:t>:</w:t>
      </w:r>
      <w:r>
        <w:rPr>
          <w:rFonts w:ascii="Garamond" w:hAnsi="Garamond"/>
        </w:rPr>
        <w:t>45</w:t>
      </w:r>
      <w:r w:rsidRPr="007D2FC0">
        <w:rPr>
          <w:rFonts w:ascii="Garamond" w:hAnsi="Garamond"/>
        </w:rPr>
        <w:t xml:space="preserve"> AM – 9:</w:t>
      </w:r>
      <w:r>
        <w:rPr>
          <w:rFonts w:ascii="Garamond" w:hAnsi="Garamond"/>
        </w:rPr>
        <w:t>0</w:t>
      </w:r>
      <w:r w:rsidRPr="007D2FC0">
        <w:rPr>
          <w:rFonts w:ascii="Garamond" w:hAnsi="Garamond"/>
        </w:rPr>
        <w:t>0 AM</w:t>
      </w:r>
      <w:r w:rsidRPr="007D2FC0">
        <w:rPr>
          <w:rFonts w:ascii="Garamond" w:hAnsi="Garamond"/>
        </w:rPr>
        <w:tab/>
      </w:r>
      <w:r w:rsidRPr="007D2FC0">
        <w:rPr>
          <w:rFonts w:ascii="Garamond" w:hAnsi="Garamond"/>
        </w:rPr>
        <w:tab/>
      </w:r>
    </w:p>
    <w:p w14:paraId="4A270A7D" w14:textId="77777777" w:rsidR="00C925B2" w:rsidRPr="007D2FC0" w:rsidRDefault="00C925B2" w:rsidP="00C925B2">
      <w:pPr>
        <w:keepNext/>
        <w:keepLines/>
        <w:outlineLvl w:val="1"/>
        <w:rPr>
          <w:rFonts w:ascii="Garamond" w:hAnsi="Garamond"/>
          <w:b/>
          <w:bCs/>
        </w:rPr>
      </w:pPr>
      <w:r w:rsidRPr="007D2FC0">
        <w:rPr>
          <w:rFonts w:ascii="Garamond" w:hAnsi="Garamond"/>
          <w:b/>
          <w:bCs/>
        </w:rPr>
        <w:t>Introduction and Opening Remarks</w:t>
      </w:r>
    </w:p>
    <w:p w14:paraId="56CA464F" w14:textId="77777777" w:rsidR="00C925B2" w:rsidRPr="007D2FC0" w:rsidRDefault="00C925B2" w:rsidP="00C925B2">
      <w:pPr>
        <w:keepNext/>
        <w:keepLines/>
        <w:outlineLvl w:val="1"/>
        <w:rPr>
          <w:rFonts w:ascii="Garamond" w:hAnsi="Garamond"/>
          <w:b/>
          <w:bCs/>
        </w:rPr>
      </w:pPr>
    </w:p>
    <w:p w14:paraId="757D6212" w14:textId="03D5D5A7" w:rsidR="001D2EC9" w:rsidRPr="007D2FC0" w:rsidRDefault="00C925B2" w:rsidP="001D2EC9">
      <w:pPr>
        <w:pBdr>
          <w:bottom w:val="single" w:sz="6" w:space="1" w:color="auto"/>
        </w:pBdr>
        <w:rPr>
          <w:rFonts w:ascii="Garamond" w:hAnsi="Garamond"/>
          <w:b/>
          <w:bCs/>
        </w:rPr>
      </w:pPr>
      <w:r w:rsidRPr="007D2FC0">
        <w:rPr>
          <w:rFonts w:ascii="Garamond" w:hAnsi="Garamond"/>
        </w:rPr>
        <w:t xml:space="preserve">Welcome from </w:t>
      </w:r>
      <w:r w:rsidRPr="00610D83">
        <w:rPr>
          <w:rFonts w:ascii="Garamond" w:hAnsi="Garamond"/>
          <w:b/>
          <w:bCs/>
        </w:rPr>
        <w:t xml:space="preserve">Alice </w:t>
      </w:r>
      <w:r w:rsidR="001D2EC9" w:rsidRPr="00610D83">
        <w:rPr>
          <w:rFonts w:ascii="Garamond" w:hAnsi="Garamond"/>
          <w:b/>
          <w:bCs/>
        </w:rPr>
        <w:t xml:space="preserve">G. </w:t>
      </w:r>
      <w:r w:rsidRPr="00610D83">
        <w:rPr>
          <w:rFonts w:ascii="Garamond" w:hAnsi="Garamond"/>
          <w:b/>
          <w:bCs/>
        </w:rPr>
        <w:t>Abreu</w:t>
      </w:r>
      <w:r w:rsidRPr="007D2FC0">
        <w:rPr>
          <w:rFonts w:ascii="Garamond" w:hAnsi="Garamond"/>
        </w:rPr>
        <w:t xml:space="preserve">, </w:t>
      </w:r>
      <w:r w:rsidR="001D2EC9" w:rsidRPr="001D2EC9">
        <w:rPr>
          <w:rFonts w:ascii="Garamond" w:eastAsiaTheme="minorHAnsi" w:hAnsi="Garamond"/>
        </w:rPr>
        <w:t>Honorable Nelson A. Diaz Professor of Law and Director</w:t>
      </w:r>
      <w:r w:rsidR="00F304F5">
        <w:rPr>
          <w:rFonts w:ascii="Garamond" w:eastAsiaTheme="minorHAnsi" w:hAnsi="Garamond"/>
        </w:rPr>
        <w:t>,</w:t>
      </w:r>
      <w:r w:rsidR="001D2EC9" w:rsidRPr="001D2EC9">
        <w:rPr>
          <w:rFonts w:ascii="Garamond" w:eastAsiaTheme="minorHAnsi" w:hAnsi="Garamond"/>
        </w:rPr>
        <w:t xml:space="preserve"> Center for Tax Law and Public Policy</w:t>
      </w:r>
      <w:r w:rsidR="001D2EC9">
        <w:rPr>
          <w:rFonts w:ascii="Garamond" w:hAnsi="Garamond"/>
        </w:rPr>
        <w:t>, Temple University Beasley School of Law</w:t>
      </w:r>
    </w:p>
    <w:p w14:paraId="66283690" w14:textId="77777777" w:rsidR="001D2EC9" w:rsidRDefault="001D2EC9" w:rsidP="001D2EC9">
      <w:pPr>
        <w:rPr>
          <w:rFonts w:ascii="Garamond" w:hAnsi="Garamond"/>
          <w:iCs/>
        </w:rPr>
      </w:pPr>
    </w:p>
    <w:p w14:paraId="21BAF9F9" w14:textId="0EB401F2" w:rsidR="002D41A9" w:rsidRDefault="002D41A9" w:rsidP="002D41A9">
      <w:pPr>
        <w:rPr>
          <w:rFonts w:ascii="Garamond" w:hAnsi="Garamond"/>
          <w:iCs/>
        </w:rPr>
      </w:pPr>
      <w:r w:rsidRPr="007D2FC0">
        <w:rPr>
          <w:rFonts w:ascii="Garamond" w:hAnsi="Garamond"/>
          <w:iCs/>
        </w:rPr>
        <w:t>9:</w:t>
      </w:r>
      <w:r w:rsidR="001D2EC9">
        <w:rPr>
          <w:rFonts w:ascii="Garamond" w:hAnsi="Garamond"/>
          <w:iCs/>
        </w:rPr>
        <w:t>0</w:t>
      </w:r>
      <w:r w:rsidRPr="007D2FC0">
        <w:rPr>
          <w:rFonts w:ascii="Garamond" w:hAnsi="Garamond"/>
          <w:iCs/>
        </w:rPr>
        <w:t>0 AM – 10:</w:t>
      </w:r>
      <w:r w:rsidR="00A92614">
        <w:rPr>
          <w:rFonts w:ascii="Garamond" w:hAnsi="Garamond"/>
          <w:iCs/>
        </w:rPr>
        <w:t>1</w:t>
      </w:r>
      <w:r w:rsidR="001D2EC9">
        <w:rPr>
          <w:rFonts w:ascii="Garamond" w:hAnsi="Garamond"/>
          <w:iCs/>
        </w:rPr>
        <w:t>5</w:t>
      </w:r>
      <w:r w:rsidRPr="007D2FC0">
        <w:rPr>
          <w:rFonts w:ascii="Garamond" w:hAnsi="Garamond"/>
          <w:iCs/>
        </w:rPr>
        <w:t xml:space="preserve"> AM</w:t>
      </w:r>
    </w:p>
    <w:p w14:paraId="1D149CE7" w14:textId="71D6415E" w:rsidR="002D41A9" w:rsidRPr="007D2FC0" w:rsidRDefault="002D41A9" w:rsidP="002D41A9">
      <w:pPr>
        <w:rPr>
          <w:rFonts w:ascii="Garamond" w:hAnsi="Garamond"/>
          <w:b/>
        </w:rPr>
      </w:pPr>
      <w:r w:rsidRPr="007D2FC0">
        <w:rPr>
          <w:rFonts w:ascii="Garamond" w:hAnsi="Garamond"/>
          <w:b/>
        </w:rPr>
        <w:t xml:space="preserve">Panel I: </w:t>
      </w:r>
      <w:r w:rsidR="00610D83">
        <w:rPr>
          <w:rFonts w:ascii="Garamond" w:hAnsi="Garamond"/>
          <w:b/>
        </w:rPr>
        <w:t>Race, History, Taxation</w:t>
      </w:r>
      <w:r w:rsidR="00BF4EDB">
        <w:rPr>
          <w:rFonts w:ascii="Garamond" w:hAnsi="Garamond"/>
          <w:b/>
        </w:rPr>
        <w:t xml:space="preserve"> and Behavior</w:t>
      </w:r>
    </w:p>
    <w:p w14:paraId="3AD3FC6C" w14:textId="77777777" w:rsidR="002D41A9" w:rsidRDefault="002D41A9" w:rsidP="002D41A9">
      <w:pPr>
        <w:ind w:left="2880"/>
        <w:rPr>
          <w:rFonts w:ascii="Garamond" w:hAnsi="Garamond"/>
          <w:iCs/>
        </w:rPr>
      </w:pPr>
    </w:p>
    <w:p w14:paraId="71877F0B" w14:textId="79CCA6F7" w:rsidR="002D41A9" w:rsidRPr="007D2FC0" w:rsidRDefault="00610D83" w:rsidP="002D41A9">
      <w:pPr>
        <w:rPr>
          <w:rFonts w:ascii="Garamond" w:hAnsi="Garamond"/>
          <w:bCs/>
        </w:rPr>
      </w:pPr>
      <w:r>
        <w:rPr>
          <w:rFonts w:ascii="Garamond" w:hAnsi="Garamond"/>
          <w:bCs/>
        </w:rPr>
        <w:t xml:space="preserve">Race and taxation have always been intertwined in the United States. </w:t>
      </w:r>
      <w:r w:rsidR="009C4DE4">
        <w:rPr>
          <w:rFonts w:ascii="Garamond" w:hAnsi="Garamond"/>
          <w:bCs/>
        </w:rPr>
        <w:t>Tax law is deeply implicated in slavery, as colonies and then states sought to impose taxes on both land and the human beings who were treated as property.</w:t>
      </w:r>
      <w:r w:rsidR="00580D22">
        <w:rPr>
          <w:rFonts w:ascii="Garamond" w:hAnsi="Garamond"/>
          <w:bCs/>
        </w:rPr>
        <w:t xml:space="preserve"> The United States Constitution famously counted enslaved persons as three-fifths of the white persons in the jurisdiction, and did not count “Indians” at all, for purposes of determining political representation. How, over time, did </w:t>
      </w:r>
      <w:r w:rsidR="00580D22" w:rsidRPr="00580D22">
        <w:rPr>
          <w:rFonts w:ascii="Garamond" w:hAnsi="Garamond"/>
          <w:bCs/>
        </w:rPr>
        <w:t>how subordinated racial groups, particularly African Americans, Native Americans, and others, rel</w:t>
      </w:r>
      <w:r w:rsidR="00580D22">
        <w:rPr>
          <w:rFonts w:ascii="Garamond" w:hAnsi="Garamond"/>
          <w:bCs/>
        </w:rPr>
        <w:t xml:space="preserve">y </w:t>
      </w:r>
      <w:r w:rsidR="00580D22" w:rsidRPr="00580D22">
        <w:rPr>
          <w:rFonts w:ascii="Garamond" w:hAnsi="Garamond"/>
          <w:bCs/>
        </w:rPr>
        <w:t xml:space="preserve">on </w:t>
      </w:r>
      <w:r w:rsidR="00580D22">
        <w:rPr>
          <w:rFonts w:ascii="Garamond" w:hAnsi="Garamond"/>
          <w:bCs/>
        </w:rPr>
        <w:t>tax rhetoric and reality, including their roles as taxpayers, to</w:t>
      </w:r>
      <w:r w:rsidR="00580D22" w:rsidRPr="00580D22">
        <w:rPr>
          <w:rFonts w:ascii="Garamond" w:hAnsi="Garamond"/>
          <w:bCs/>
        </w:rPr>
        <w:t xml:space="preserve"> demand greater political and social rights</w:t>
      </w:r>
      <w:r w:rsidR="00580D22">
        <w:rPr>
          <w:rFonts w:ascii="Garamond" w:hAnsi="Garamond"/>
          <w:bCs/>
        </w:rPr>
        <w:t xml:space="preserve">? </w:t>
      </w:r>
      <w:r w:rsidR="004A5056">
        <w:rPr>
          <w:rFonts w:ascii="Garamond" w:hAnsi="Garamond"/>
          <w:bCs/>
        </w:rPr>
        <w:t xml:space="preserve">In what way has the tax system continued to prop up the systematic exclusion of Blacks and other groups from ownership of homes and other property? </w:t>
      </w:r>
      <w:r w:rsidR="00BF4EDB">
        <w:rPr>
          <w:rFonts w:ascii="Garamond" w:hAnsi="Garamond"/>
          <w:bCs/>
        </w:rPr>
        <w:t xml:space="preserve">What are the racial and gendered dimensions of choices taxpayers have made over time, including choices about the provision of services to family members?  Who benefits from the tax-free treatment of imputed income? </w:t>
      </w:r>
      <w:r w:rsidR="004A5056">
        <w:rPr>
          <w:rFonts w:ascii="Garamond" w:hAnsi="Garamond"/>
          <w:bCs/>
        </w:rPr>
        <w:t>Given the tax system’s role in racial subordination, is there a way that the tax laws might be deployed to</w:t>
      </w:r>
      <w:r w:rsidR="00580D22">
        <w:rPr>
          <w:rFonts w:ascii="Garamond" w:hAnsi="Garamond"/>
          <w:bCs/>
        </w:rPr>
        <w:t xml:space="preserve"> remedy </w:t>
      </w:r>
      <w:r w:rsidR="004A5056">
        <w:rPr>
          <w:rFonts w:ascii="Garamond" w:hAnsi="Garamond"/>
          <w:bCs/>
        </w:rPr>
        <w:t>race-based</w:t>
      </w:r>
      <w:r w:rsidR="00580D22">
        <w:rPr>
          <w:rFonts w:ascii="Garamond" w:hAnsi="Garamond"/>
          <w:bCs/>
        </w:rPr>
        <w:t xml:space="preserve"> harms of enslavement, forced dispossession, centuries of race-based discrimination</w:t>
      </w:r>
      <w:r w:rsidR="00BF4EDB">
        <w:rPr>
          <w:rFonts w:ascii="Garamond" w:hAnsi="Garamond"/>
          <w:bCs/>
        </w:rPr>
        <w:t>, or raced and gendered patterns of behavior</w:t>
      </w:r>
      <w:r w:rsidR="00580D22">
        <w:rPr>
          <w:rFonts w:ascii="Garamond" w:hAnsi="Garamond"/>
          <w:bCs/>
        </w:rPr>
        <w:t xml:space="preserve">? </w:t>
      </w:r>
      <w:r w:rsidR="00580D22" w:rsidRPr="00580D22">
        <w:rPr>
          <w:rFonts w:ascii="Garamond" w:hAnsi="Garamond"/>
          <w:bCs/>
        </w:rPr>
        <w:t xml:space="preserve"> </w:t>
      </w:r>
    </w:p>
    <w:p w14:paraId="7621B198" w14:textId="77777777" w:rsidR="002D41A9" w:rsidRPr="007D2FC0" w:rsidRDefault="002D41A9" w:rsidP="00262AA9">
      <w:pPr>
        <w:ind w:left="720" w:hanging="720"/>
        <w:rPr>
          <w:rFonts w:ascii="Garamond" w:hAnsi="Garamond"/>
          <w:b/>
        </w:rPr>
      </w:pPr>
    </w:p>
    <w:p w14:paraId="05A703F1" w14:textId="40CCF9D4" w:rsidR="002D41A9" w:rsidRPr="007D2FC0" w:rsidRDefault="002D41A9" w:rsidP="00262AA9">
      <w:pPr>
        <w:ind w:left="720" w:hanging="720"/>
        <w:rPr>
          <w:rFonts w:ascii="Garamond" w:hAnsi="Garamond"/>
          <w:bCs/>
        </w:rPr>
      </w:pPr>
      <w:r w:rsidRPr="00EB5F2C">
        <w:rPr>
          <w:rFonts w:ascii="Garamond" w:hAnsi="Garamond"/>
          <w:bCs/>
          <w:i/>
          <w:iCs/>
        </w:rPr>
        <w:t xml:space="preserve">Moderator: </w:t>
      </w:r>
      <w:r w:rsidR="001D2EC9">
        <w:rPr>
          <w:rFonts w:ascii="Garamond" w:hAnsi="Garamond"/>
          <w:b/>
        </w:rPr>
        <w:t>Alice</w:t>
      </w:r>
      <w:r w:rsidR="00477C29">
        <w:rPr>
          <w:rFonts w:ascii="Garamond" w:hAnsi="Garamond"/>
          <w:b/>
        </w:rPr>
        <w:t xml:space="preserve"> </w:t>
      </w:r>
      <w:r w:rsidR="001E4CC3">
        <w:rPr>
          <w:rFonts w:ascii="Garamond" w:hAnsi="Garamond"/>
          <w:b/>
        </w:rPr>
        <w:t xml:space="preserve">M. </w:t>
      </w:r>
      <w:r w:rsidR="00477C29">
        <w:rPr>
          <w:rFonts w:ascii="Garamond" w:hAnsi="Garamond"/>
          <w:b/>
        </w:rPr>
        <w:t>Thomas</w:t>
      </w:r>
      <w:r>
        <w:rPr>
          <w:rFonts w:ascii="Garamond" w:hAnsi="Garamond"/>
          <w:bCs/>
        </w:rPr>
        <w:t xml:space="preserve">, </w:t>
      </w:r>
      <w:r w:rsidR="00477C29">
        <w:rPr>
          <w:rFonts w:ascii="Garamond" w:hAnsi="Garamond"/>
          <w:bCs/>
        </w:rPr>
        <w:t xml:space="preserve">Associate Professor of Law, Howard University School of Law and Loretta </w:t>
      </w:r>
      <w:proofErr w:type="spellStart"/>
      <w:r w:rsidR="00477C29">
        <w:rPr>
          <w:rFonts w:ascii="Garamond" w:hAnsi="Garamond"/>
          <w:bCs/>
        </w:rPr>
        <w:t>Argrett</w:t>
      </w:r>
      <w:proofErr w:type="spellEnd"/>
      <w:r w:rsidR="00477C29">
        <w:rPr>
          <w:rFonts w:ascii="Garamond" w:hAnsi="Garamond"/>
          <w:bCs/>
        </w:rPr>
        <w:t xml:space="preserve"> Fellow, Tax Section, American Bar Association</w:t>
      </w:r>
    </w:p>
    <w:p w14:paraId="734EE16E" w14:textId="77777777" w:rsidR="002D41A9" w:rsidRPr="007D2FC0" w:rsidRDefault="002D41A9" w:rsidP="002D41A9">
      <w:pPr>
        <w:rPr>
          <w:rFonts w:ascii="Garamond" w:hAnsi="Garamond"/>
          <w:bCs/>
          <w:i/>
          <w:iCs/>
        </w:rPr>
      </w:pPr>
    </w:p>
    <w:p w14:paraId="342B3199" w14:textId="7F131B36" w:rsidR="002D41A9" w:rsidRDefault="002D41A9" w:rsidP="002D41A9">
      <w:pPr>
        <w:rPr>
          <w:rFonts w:ascii="Garamond" w:hAnsi="Garamond"/>
          <w:bCs/>
          <w:i/>
          <w:iCs/>
        </w:rPr>
      </w:pPr>
      <w:r w:rsidRPr="007D2FC0">
        <w:rPr>
          <w:rFonts w:ascii="Garamond" w:hAnsi="Garamond"/>
          <w:bCs/>
          <w:i/>
          <w:iCs/>
        </w:rPr>
        <w:t>Presenters:</w:t>
      </w:r>
    </w:p>
    <w:p w14:paraId="50E4C6BA" w14:textId="4AA99549" w:rsidR="00233020" w:rsidRDefault="00233020" w:rsidP="00262AA9">
      <w:pPr>
        <w:ind w:left="720" w:hanging="720"/>
        <w:jc w:val="both"/>
        <w:rPr>
          <w:rFonts w:ascii="Garamond" w:hAnsi="Garamond"/>
          <w:i/>
        </w:rPr>
      </w:pPr>
      <w:r>
        <w:rPr>
          <w:rFonts w:ascii="Garamond" w:hAnsi="Garamond"/>
          <w:b/>
          <w:bCs/>
        </w:rPr>
        <w:t>Jeremy Bearer-</w:t>
      </w:r>
      <w:r w:rsidRPr="00233020">
        <w:rPr>
          <w:rFonts w:ascii="Garamond" w:hAnsi="Garamond"/>
          <w:b/>
          <w:bCs/>
        </w:rPr>
        <w:t>Friend</w:t>
      </w:r>
      <w:r>
        <w:rPr>
          <w:rFonts w:ascii="Garamond" w:hAnsi="Garamond"/>
        </w:rPr>
        <w:t xml:space="preserve">, </w:t>
      </w:r>
      <w:r w:rsidRPr="00233020">
        <w:rPr>
          <w:rFonts w:ascii="Garamond" w:eastAsia="Calibri" w:hAnsi="Garamond" w:cs="Calibri"/>
        </w:rPr>
        <w:t>Associate Professor of Law</w:t>
      </w:r>
      <w:r>
        <w:rPr>
          <w:rFonts w:ascii="Garamond" w:hAnsi="Garamond"/>
        </w:rPr>
        <w:t xml:space="preserve">, </w:t>
      </w:r>
      <w:r w:rsidRPr="00233020">
        <w:rPr>
          <w:rFonts w:ascii="Garamond" w:hAnsi="Garamond"/>
        </w:rPr>
        <w:t>George Washington University Law School</w:t>
      </w:r>
      <w:r w:rsidR="008A2C23">
        <w:rPr>
          <w:rFonts w:ascii="Garamond" w:hAnsi="Garamond"/>
        </w:rPr>
        <w:t xml:space="preserve">, </w:t>
      </w:r>
      <w:r w:rsidR="008A2C23">
        <w:rPr>
          <w:rFonts w:ascii="Garamond" w:hAnsi="Garamond"/>
          <w:i/>
        </w:rPr>
        <w:t>Poll Taxes, Revisited</w:t>
      </w:r>
    </w:p>
    <w:p w14:paraId="49A7460E" w14:textId="77777777" w:rsidR="00AF6A86" w:rsidRDefault="00AF6A86" w:rsidP="00AF6A86">
      <w:pPr>
        <w:ind w:left="720" w:hanging="720"/>
        <w:rPr>
          <w:rFonts w:ascii="Garamond" w:hAnsi="Garamond"/>
          <w:i/>
          <w:iCs/>
        </w:rPr>
      </w:pPr>
      <w:proofErr w:type="spellStart"/>
      <w:r w:rsidRPr="00262AA9">
        <w:rPr>
          <w:rFonts w:ascii="Garamond" w:hAnsi="Garamond"/>
          <w:b/>
          <w:bCs/>
        </w:rPr>
        <w:t>Nyamagaga</w:t>
      </w:r>
      <w:proofErr w:type="spellEnd"/>
      <w:r w:rsidRPr="00262AA9">
        <w:rPr>
          <w:rFonts w:ascii="Garamond" w:hAnsi="Garamond"/>
          <w:b/>
          <w:bCs/>
        </w:rPr>
        <w:t xml:space="preserve"> Gondwe</w:t>
      </w:r>
      <w:r>
        <w:rPr>
          <w:rFonts w:ascii="Garamond" w:hAnsi="Garamond"/>
        </w:rPr>
        <w:t xml:space="preserve">, Assistant Professor of Tax Law, University of Wisconsin Law School, </w:t>
      </w:r>
      <w:r>
        <w:rPr>
          <w:rFonts w:ascii="Garamond" w:hAnsi="Garamond"/>
          <w:i/>
          <w:iCs/>
        </w:rPr>
        <w:t>Economic Precarity and Tax Invisibility of Uncompensated Kin-Group Service Providers</w:t>
      </w:r>
    </w:p>
    <w:p w14:paraId="4722E368" w14:textId="3BC0154D" w:rsidR="001D2EC9" w:rsidRDefault="001D2EC9" w:rsidP="00262AA9">
      <w:pPr>
        <w:ind w:left="720" w:hanging="720"/>
        <w:jc w:val="both"/>
        <w:rPr>
          <w:rFonts w:ascii="Garamond" w:eastAsia="Calibri" w:hAnsi="Garamond" w:cs="Calibri"/>
        </w:rPr>
      </w:pPr>
      <w:r w:rsidRPr="00233020">
        <w:rPr>
          <w:rFonts w:ascii="Garamond" w:hAnsi="Garamond"/>
          <w:b/>
          <w:bCs/>
        </w:rPr>
        <w:t>Anthony</w:t>
      </w:r>
      <w:r>
        <w:rPr>
          <w:rFonts w:ascii="Garamond" w:hAnsi="Garamond"/>
          <w:b/>
          <w:bCs/>
        </w:rPr>
        <w:t xml:space="preserve"> C. Infanti</w:t>
      </w:r>
      <w:r w:rsidR="002D41A9" w:rsidRPr="00A21070">
        <w:rPr>
          <w:rFonts w:ascii="Garamond" w:hAnsi="Garamond"/>
        </w:rPr>
        <w:t xml:space="preserve">, </w:t>
      </w:r>
      <w:r w:rsidRPr="001D2EC9">
        <w:rPr>
          <w:rFonts w:ascii="Garamond" w:eastAsia="Calibri" w:hAnsi="Garamond" w:cs="Calibri"/>
        </w:rPr>
        <w:t>Christopher C. Walthour, Sr. Professor of Law</w:t>
      </w:r>
      <w:r>
        <w:rPr>
          <w:rFonts w:ascii="Garamond" w:eastAsia="Calibri" w:hAnsi="Garamond" w:cs="Calibri"/>
        </w:rPr>
        <w:t>, University of Pittsburgh School of Law</w:t>
      </w:r>
      <w:r w:rsidR="00F00881">
        <w:rPr>
          <w:rFonts w:ascii="Garamond" w:eastAsia="Calibri" w:hAnsi="Garamond" w:cs="Calibri"/>
        </w:rPr>
        <w:t>:</w:t>
      </w:r>
      <w:r>
        <w:rPr>
          <w:rFonts w:ascii="Garamond" w:eastAsia="Calibri" w:hAnsi="Garamond" w:cs="Calibri"/>
        </w:rPr>
        <w:t xml:space="preserve"> </w:t>
      </w:r>
      <w:r w:rsidR="00F00881">
        <w:rPr>
          <w:rFonts w:ascii="Garamond" w:eastAsia="Calibri" w:hAnsi="Garamond" w:cs="Calibri"/>
          <w:i/>
        </w:rPr>
        <w:t xml:space="preserve">Taxation and Slavery in Colonial America: The Case for </w:t>
      </w:r>
      <w:r w:rsidRPr="001D2EC9">
        <w:rPr>
          <w:rFonts w:ascii="Garamond" w:eastAsia="Calibri" w:hAnsi="Garamond" w:cs="Calibri"/>
          <w:i/>
          <w:iCs/>
        </w:rPr>
        <w:t>Reparations</w:t>
      </w:r>
      <w:r w:rsidRPr="001D2EC9">
        <w:rPr>
          <w:rFonts w:ascii="Garamond" w:eastAsia="Calibri" w:hAnsi="Garamond" w:cs="Calibri"/>
        </w:rPr>
        <w:t xml:space="preserve"> </w:t>
      </w:r>
    </w:p>
    <w:p w14:paraId="04D290C2" w14:textId="74CF3F75" w:rsidR="00610D83" w:rsidRPr="00610D83" w:rsidRDefault="00233020" w:rsidP="00610D83">
      <w:pPr>
        <w:ind w:left="720" w:hanging="720"/>
        <w:rPr>
          <w:rFonts w:ascii="Garamond" w:hAnsi="Garamond"/>
          <w:b/>
          <w:bCs/>
          <w:i/>
          <w:iCs/>
        </w:rPr>
      </w:pPr>
      <w:r>
        <w:rPr>
          <w:rFonts w:ascii="Garamond" w:hAnsi="Garamond"/>
          <w:b/>
          <w:bCs/>
        </w:rPr>
        <w:t>Richard Winchester</w:t>
      </w:r>
      <w:r>
        <w:rPr>
          <w:rFonts w:ascii="Garamond" w:hAnsi="Garamond"/>
        </w:rPr>
        <w:t>, Associate Professor of Law, Seton Hall University School of Law</w:t>
      </w:r>
      <w:r w:rsidR="00F00881">
        <w:rPr>
          <w:rFonts w:ascii="Garamond" w:hAnsi="Garamond"/>
        </w:rPr>
        <w:t>:</w:t>
      </w:r>
      <w:r>
        <w:rPr>
          <w:rFonts w:ascii="Garamond" w:hAnsi="Garamond"/>
        </w:rPr>
        <w:t xml:space="preserve"> </w:t>
      </w:r>
      <w:r w:rsidR="00610D83" w:rsidRPr="00610D83">
        <w:rPr>
          <w:rFonts w:ascii="Garamond" w:hAnsi="Garamond"/>
          <w:i/>
          <w:iCs/>
        </w:rPr>
        <w:t xml:space="preserve">The </w:t>
      </w:r>
      <w:r w:rsidR="00610D83" w:rsidRPr="00610D83">
        <w:rPr>
          <w:rFonts w:ascii="Garamond" w:hAnsi="Garamond"/>
        </w:rPr>
        <w:t>Pontchartrain Park</w:t>
      </w:r>
      <w:r w:rsidR="00610D83" w:rsidRPr="00610D83">
        <w:rPr>
          <w:rFonts w:ascii="Garamond" w:hAnsi="Garamond"/>
          <w:i/>
          <w:iCs/>
        </w:rPr>
        <w:t xml:space="preserve"> Case: Privilege Joins Prejudice in Tax Court</w:t>
      </w:r>
    </w:p>
    <w:p w14:paraId="63379FED" w14:textId="1D08138F" w:rsidR="00233020" w:rsidRPr="00233020" w:rsidRDefault="00233020" w:rsidP="00262AA9">
      <w:pPr>
        <w:ind w:left="720" w:hanging="720"/>
        <w:rPr>
          <w:rFonts w:ascii="Garamond" w:hAnsi="Garamond"/>
          <w:i/>
          <w:iCs/>
        </w:rPr>
      </w:pPr>
    </w:p>
    <w:p w14:paraId="455CD5DB" w14:textId="77777777" w:rsidR="002D41A9" w:rsidRPr="007D2FC0" w:rsidRDefault="002D41A9" w:rsidP="002D41A9">
      <w:pPr>
        <w:pBdr>
          <w:bottom w:val="single" w:sz="6" w:space="1" w:color="auto"/>
        </w:pBdr>
        <w:rPr>
          <w:rFonts w:ascii="Garamond" w:hAnsi="Garamond"/>
          <w:iCs/>
        </w:rPr>
      </w:pPr>
    </w:p>
    <w:p w14:paraId="158513F8" w14:textId="77777777" w:rsidR="002D41A9" w:rsidRPr="007D2FC0" w:rsidRDefault="002D41A9" w:rsidP="002D41A9">
      <w:pPr>
        <w:rPr>
          <w:rFonts w:ascii="Garamond" w:hAnsi="Garamond"/>
          <w:iCs/>
        </w:rPr>
      </w:pPr>
    </w:p>
    <w:p w14:paraId="2D5BC9AB" w14:textId="19EC9D72" w:rsidR="002D41A9" w:rsidRPr="007D2FC0" w:rsidRDefault="002D41A9" w:rsidP="002D41A9">
      <w:pPr>
        <w:rPr>
          <w:rFonts w:ascii="Garamond" w:hAnsi="Garamond"/>
          <w:i/>
        </w:rPr>
      </w:pPr>
      <w:r w:rsidRPr="007D2FC0">
        <w:rPr>
          <w:rFonts w:ascii="Garamond" w:hAnsi="Garamond"/>
          <w:i/>
        </w:rPr>
        <w:t>10:</w:t>
      </w:r>
      <w:r w:rsidR="00A92614">
        <w:rPr>
          <w:rFonts w:ascii="Garamond" w:hAnsi="Garamond"/>
          <w:i/>
        </w:rPr>
        <w:t>1</w:t>
      </w:r>
      <w:r w:rsidR="00233020">
        <w:rPr>
          <w:rFonts w:ascii="Garamond" w:hAnsi="Garamond"/>
          <w:i/>
        </w:rPr>
        <w:t>5</w:t>
      </w:r>
      <w:r w:rsidRPr="007D2FC0">
        <w:rPr>
          <w:rFonts w:ascii="Garamond" w:hAnsi="Garamond"/>
          <w:i/>
        </w:rPr>
        <w:t xml:space="preserve"> AM – 1</w:t>
      </w:r>
      <w:r w:rsidR="00A92614">
        <w:rPr>
          <w:rFonts w:ascii="Garamond" w:hAnsi="Garamond"/>
          <w:i/>
        </w:rPr>
        <w:t>0:3</w:t>
      </w:r>
      <w:r w:rsidR="00AD6455">
        <w:rPr>
          <w:rFonts w:ascii="Garamond" w:hAnsi="Garamond"/>
          <w:i/>
        </w:rPr>
        <w:t>0</w:t>
      </w:r>
      <w:r w:rsidRPr="007D2FC0">
        <w:rPr>
          <w:rFonts w:ascii="Garamond" w:hAnsi="Garamond"/>
          <w:i/>
        </w:rPr>
        <w:t xml:space="preserve"> AM</w:t>
      </w:r>
      <w:r w:rsidRPr="007D2FC0">
        <w:rPr>
          <w:rFonts w:ascii="Garamond" w:hAnsi="Garamond"/>
          <w:i/>
        </w:rPr>
        <w:tab/>
      </w:r>
      <w:r>
        <w:rPr>
          <w:rFonts w:ascii="Garamond" w:hAnsi="Garamond"/>
          <w:i/>
        </w:rPr>
        <w:tab/>
      </w:r>
      <w:r w:rsidRPr="007D2FC0">
        <w:rPr>
          <w:rFonts w:ascii="Garamond" w:hAnsi="Garamond"/>
          <w:i/>
        </w:rPr>
        <w:t>Break</w:t>
      </w:r>
    </w:p>
    <w:p w14:paraId="35545DEB" w14:textId="77777777" w:rsidR="002D41A9" w:rsidRPr="007D2FC0" w:rsidRDefault="002D41A9" w:rsidP="002D41A9">
      <w:pPr>
        <w:pBdr>
          <w:bottom w:val="single" w:sz="6" w:space="1" w:color="auto"/>
        </w:pBdr>
        <w:rPr>
          <w:rFonts w:ascii="Garamond" w:hAnsi="Garamond"/>
          <w:iCs/>
        </w:rPr>
      </w:pPr>
    </w:p>
    <w:p w14:paraId="00A3CE13" w14:textId="77777777" w:rsidR="002D41A9" w:rsidRPr="007D2FC0" w:rsidRDefault="002D41A9" w:rsidP="002D41A9">
      <w:pPr>
        <w:rPr>
          <w:rFonts w:ascii="Garamond" w:hAnsi="Garamond"/>
          <w:iCs/>
        </w:rPr>
      </w:pPr>
    </w:p>
    <w:p w14:paraId="4E286E10" w14:textId="1F97AF71" w:rsidR="00610D83" w:rsidRPr="00A96768" w:rsidRDefault="002D41A9" w:rsidP="002D41A9">
      <w:pPr>
        <w:rPr>
          <w:rFonts w:ascii="Garamond" w:hAnsi="Garamond"/>
          <w:i/>
          <w:iCs/>
        </w:rPr>
      </w:pPr>
      <w:r w:rsidRPr="00A96768">
        <w:rPr>
          <w:rFonts w:ascii="Garamond" w:hAnsi="Garamond"/>
          <w:i/>
          <w:iCs/>
        </w:rPr>
        <w:t>1</w:t>
      </w:r>
      <w:r w:rsidR="00A92614" w:rsidRPr="00A96768">
        <w:rPr>
          <w:rFonts w:ascii="Garamond" w:hAnsi="Garamond"/>
          <w:i/>
          <w:iCs/>
        </w:rPr>
        <w:t>0:3</w:t>
      </w:r>
      <w:r w:rsidR="007F213A">
        <w:rPr>
          <w:rFonts w:ascii="Garamond" w:hAnsi="Garamond"/>
          <w:i/>
          <w:iCs/>
        </w:rPr>
        <w:t>0</w:t>
      </w:r>
      <w:r w:rsidRPr="00A96768">
        <w:rPr>
          <w:rFonts w:ascii="Garamond" w:hAnsi="Garamond"/>
          <w:i/>
          <w:iCs/>
        </w:rPr>
        <w:t xml:space="preserve"> AM – </w:t>
      </w:r>
      <w:r w:rsidR="001F0B5A" w:rsidRPr="00A96768">
        <w:rPr>
          <w:rFonts w:ascii="Garamond" w:hAnsi="Garamond"/>
          <w:i/>
          <w:iCs/>
        </w:rPr>
        <w:t>11:</w:t>
      </w:r>
      <w:r w:rsidR="00AD6455">
        <w:rPr>
          <w:rFonts w:ascii="Garamond" w:hAnsi="Garamond"/>
          <w:i/>
          <w:iCs/>
        </w:rPr>
        <w:t>45</w:t>
      </w:r>
      <w:r w:rsidRPr="00A96768">
        <w:rPr>
          <w:rFonts w:ascii="Garamond" w:hAnsi="Garamond"/>
          <w:i/>
          <w:iCs/>
        </w:rPr>
        <w:t xml:space="preserve"> </w:t>
      </w:r>
      <w:r w:rsidR="00B002A6">
        <w:rPr>
          <w:rFonts w:ascii="Garamond" w:hAnsi="Garamond"/>
          <w:i/>
          <w:iCs/>
        </w:rPr>
        <w:t>A</w:t>
      </w:r>
      <w:r w:rsidRPr="00A96768">
        <w:rPr>
          <w:rFonts w:ascii="Garamond" w:hAnsi="Garamond"/>
          <w:i/>
          <w:iCs/>
        </w:rPr>
        <w:t>M</w:t>
      </w:r>
      <w:r w:rsidRPr="00A96768">
        <w:rPr>
          <w:rFonts w:ascii="Garamond" w:hAnsi="Garamond"/>
          <w:i/>
          <w:iCs/>
        </w:rPr>
        <w:tab/>
      </w:r>
      <w:r w:rsidRPr="00A96768">
        <w:rPr>
          <w:rFonts w:ascii="Garamond" w:hAnsi="Garamond"/>
          <w:i/>
          <w:iCs/>
        </w:rPr>
        <w:tab/>
      </w:r>
    </w:p>
    <w:p w14:paraId="2725703E" w14:textId="74F2CBF8" w:rsidR="002D41A9" w:rsidRDefault="002D41A9" w:rsidP="002D41A9">
      <w:pPr>
        <w:rPr>
          <w:rFonts w:ascii="Garamond" w:hAnsi="Garamond"/>
          <w:b/>
        </w:rPr>
      </w:pPr>
      <w:r w:rsidRPr="007D2FC0">
        <w:rPr>
          <w:rFonts w:ascii="Garamond" w:hAnsi="Garamond"/>
          <w:b/>
        </w:rPr>
        <w:t xml:space="preserve">Panel II: </w:t>
      </w:r>
      <w:r w:rsidR="00030398">
        <w:rPr>
          <w:rFonts w:ascii="Garamond" w:hAnsi="Garamond"/>
          <w:b/>
        </w:rPr>
        <w:t>Tax Systems and Privileged Choices</w:t>
      </w:r>
      <w:r w:rsidR="008B2022">
        <w:rPr>
          <w:rFonts w:ascii="Garamond" w:hAnsi="Garamond"/>
          <w:b/>
        </w:rPr>
        <w:t xml:space="preserve"> </w:t>
      </w:r>
    </w:p>
    <w:p w14:paraId="4336A9DB" w14:textId="77777777" w:rsidR="008B2022" w:rsidRPr="007D2FC0" w:rsidRDefault="008B2022" w:rsidP="002D41A9">
      <w:pPr>
        <w:rPr>
          <w:rFonts w:ascii="Garamond" w:hAnsi="Garamond"/>
          <w:b/>
        </w:rPr>
      </w:pPr>
    </w:p>
    <w:p w14:paraId="2811F94F" w14:textId="0D470A91" w:rsidR="002D41A9" w:rsidRPr="008B6B41" w:rsidRDefault="008B6B41" w:rsidP="002D41A9">
      <w:pPr>
        <w:rPr>
          <w:rFonts w:ascii="Garamond" w:hAnsi="Garamond"/>
          <w:bCs/>
        </w:rPr>
      </w:pPr>
      <w:r>
        <w:rPr>
          <w:rFonts w:ascii="Garamond" w:hAnsi="Garamond"/>
          <w:bCs/>
        </w:rPr>
        <w:t>A tax system’s choices about what to tax and what to exempt from taxation both reflects and creates certain values</w:t>
      </w:r>
      <w:r w:rsidR="00F56F14">
        <w:rPr>
          <w:rFonts w:ascii="Garamond" w:hAnsi="Garamond"/>
          <w:bCs/>
        </w:rPr>
        <w:t>, both in terms of domestic and international policy</w:t>
      </w:r>
      <w:r>
        <w:rPr>
          <w:rFonts w:ascii="Garamond" w:hAnsi="Garamond"/>
          <w:bCs/>
        </w:rPr>
        <w:t xml:space="preserve">. For example, amounts earned from employment are treated as income, but the value of self-rendered services or services provided to members of one’s immediate family are not. Organizations that discriminate against African-Americans are not entitled to </w:t>
      </w:r>
      <w:r w:rsidRPr="008B6B41">
        <w:rPr>
          <w:rFonts w:ascii="Garamond" w:hAnsi="Garamond"/>
          <w:bCs/>
        </w:rPr>
        <w:t>501(c)(3) tax</w:t>
      </w:r>
      <w:r>
        <w:rPr>
          <w:rFonts w:ascii="Garamond" w:hAnsi="Garamond"/>
          <w:bCs/>
        </w:rPr>
        <w:t>-</w:t>
      </w:r>
      <w:r w:rsidRPr="008B6B41">
        <w:rPr>
          <w:rFonts w:ascii="Garamond" w:hAnsi="Garamond"/>
          <w:bCs/>
        </w:rPr>
        <w:t>exempt status</w:t>
      </w:r>
      <w:r>
        <w:rPr>
          <w:rFonts w:ascii="Garamond" w:hAnsi="Garamond"/>
          <w:bCs/>
        </w:rPr>
        <w:t xml:space="preserve">, but the Fourteenth Amendment does, to a certain degree, permit race-conscious affirmative policies in higher education and elsewhere. The tax code </w:t>
      </w:r>
      <w:r w:rsidR="00770A75">
        <w:rPr>
          <w:rFonts w:ascii="Garamond" w:hAnsi="Garamond"/>
          <w:bCs/>
        </w:rPr>
        <w:t xml:space="preserve">permits deductions for transfers to charities, but only for taxpayers who itemize, thus making it more “expensive” for non-itemizers to give. </w:t>
      </w:r>
      <w:r w:rsidR="00F56F14">
        <w:rPr>
          <w:rFonts w:ascii="Garamond" w:hAnsi="Garamond"/>
          <w:bCs/>
        </w:rPr>
        <w:t xml:space="preserve">Certain foreign countries are targeted for sanctions more readily than others. </w:t>
      </w:r>
      <w:r w:rsidR="00770A75">
        <w:rPr>
          <w:rFonts w:ascii="Garamond" w:hAnsi="Garamond"/>
          <w:bCs/>
        </w:rPr>
        <w:t xml:space="preserve">In the absence of </w:t>
      </w:r>
      <w:r w:rsidR="008B2022">
        <w:rPr>
          <w:rFonts w:ascii="Garamond" w:hAnsi="Garamond"/>
          <w:bCs/>
        </w:rPr>
        <w:t>official IRS collection of</w:t>
      </w:r>
      <w:r w:rsidR="00770A75">
        <w:rPr>
          <w:rFonts w:ascii="Garamond" w:hAnsi="Garamond"/>
          <w:bCs/>
        </w:rPr>
        <w:t xml:space="preserve"> tax data by race</w:t>
      </w:r>
      <w:r w:rsidR="00F56F14">
        <w:rPr>
          <w:rFonts w:ascii="Garamond" w:hAnsi="Garamond"/>
          <w:bCs/>
        </w:rPr>
        <w:t xml:space="preserve"> in domestic and international contexts</w:t>
      </w:r>
      <w:r w:rsidR="00770A75">
        <w:rPr>
          <w:rFonts w:ascii="Garamond" w:hAnsi="Garamond"/>
          <w:bCs/>
        </w:rPr>
        <w:t xml:space="preserve">, </w:t>
      </w:r>
      <w:r w:rsidR="00BF4EDB">
        <w:rPr>
          <w:rFonts w:ascii="Garamond" w:hAnsi="Garamond"/>
          <w:bCs/>
        </w:rPr>
        <w:t>w</w:t>
      </w:r>
      <w:r w:rsidR="008B2022">
        <w:rPr>
          <w:rFonts w:ascii="Garamond" w:hAnsi="Garamond"/>
          <w:bCs/>
        </w:rPr>
        <w:t xml:space="preserve">hat are the race, gender, and other identity characteristics of those who make itemizable vs. non-itemizable charitable gifts, as well as the organizations they support? </w:t>
      </w:r>
      <w:r w:rsidR="00F56F14">
        <w:rPr>
          <w:rFonts w:ascii="Garamond" w:hAnsi="Garamond"/>
          <w:iCs/>
        </w:rPr>
        <w:t xml:space="preserve">How does the racial bias reflected in the tax law manifest itself in the international context? </w:t>
      </w:r>
      <w:r w:rsidR="008B2022">
        <w:rPr>
          <w:rFonts w:ascii="Garamond" w:hAnsi="Garamond"/>
          <w:bCs/>
        </w:rPr>
        <w:t>How might tax exempt organizations be impacted by the cases coming before the Supreme Court involving race-consciousness in higher education?</w:t>
      </w:r>
    </w:p>
    <w:p w14:paraId="5496211E" w14:textId="77777777" w:rsidR="002D41A9" w:rsidRPr="007D2FC0" w:rsidRDefault="002D41A9" w:rsidP="002D41A9">
      <w:pPr>
        <w:rPr>
          <w:rFonts w:ascii="Garamond" w:hAnsi="Garamond"/>
        </w:rPr>
      </w:pPr>
    </w:p>
    <w:p w14:paraId="1E815870" w14:textId="3C25884A" w:rsidR="002D41A9" w:rsidRPr="007D2FC0" w:rsidRDefault="002D41A9" w:rsidP="002D41A9">
      <w:pPr>
        <w:rPr>
          <w:rFonts w:ascii="Garamond" w:hAnsi="Garamond"/>
          <w:bCs/>
        </w:rPr>
      </w:pPr>
      <w:r w:rsidRPr="00EB5F2C">
        <w:rPr>
          <w:rFonts w:ascii="Garamond" w:hAnsi="Garamond"/>
          <w:bCs/>
          <w:i/>
          <w:iCs/>
        </w:rPr>
        <w:t>Moderator:</w:t>
      </w:r>
      <w:bookmarkStart w:id="0" w:name="_Hlk111121502"/>
      <w:r w:rsidR="00834F16">
        <w:rPr>
          <w:rFonts w:ascii="Garamond" w:eastAsia="Calibri" w:hAnsi="Garamond" w:cs="Calibri"/>
        </w:rPr>
        <w:t xml:space="preserve"> </w:t>
      </w:r>
      <w:r w:rsidR="00AE064B">
        <w:rPr>
          <w:rFonts w:ascii="Garamond" w:hAnsi="Garamond"/>
          <w:b/>
        </w:rPr>
        <w:t>Bridget J. Crawford</w:t>
      </w:r>
      <w:r w:rsidR="00AE064B" w:rsidRPr="00EB5F2C">
        <w:rPr>
          <w:rFonts w:ascii="Garamond" w:hAnsi="Garamond"/>
          <w:bCs/>
        </w:rPr>
        <w:t xml:space="preserve">, </w:t>
      </w:r>
      <w:r w:rsidR="00AE064B">
        <w:rPr>
          <w:rFonts w:ascii="Garamond" w:hAnsi="Garamond"/>
          <w:bCs/>
        </w:rPr>
        <w:t>University Distinguished Professor</w:t>
      </w:r>
      <w:r w:rsidR="00AE064B" w:rsidRPr="00EB5F2C">
        <w:rPr>
          <w:rFonts w:ascii="Garamond" w:hAnsi="Garamond"/>
          <w:bCs/>
        </w:rPr>
        <w:t>, Elisabeth Haub School of Law at Pace University</w:t>
      </w:r>
    </w:p>
    <w:bookmarkEnd w:id="0"/>
    <w:p w14:paraId="632A80AD" w14:textId="77777777" w:rsidR="002D41A9" w:rsidRPr="007D2FC0" w:rsidRDefault="002D41A9" w:rsidP="002D41A9">
      <w:pPr>
        <w:rPr>
          <w:rFonts w:ascii="Garamond" w:hAnsi="Garamond"/>
          <w:bCs/>
          <w:i/>
          <w:iCs/>
        </w:rPr>
      </w:pPr>
    </w:p>
    <w:p w14:paraId="70974B54" w14:textId="112CD5FD" w:rsidR="002D41A9" w:rsidRDefault="002D41A9" w:rsidP="00262AA9">
      <w:pPr>
        <w:ind w:left="720" w:hanging="720"/>
        <w:rPr>
          <w:rFonts w:ascii="Garamond" w:hAnsi="Garamond"/>
          <w:bCs/>
          <w:i/>
          <w:iCs/>
        </w:rPr>
      </w:pPr>
      <w:r w:rsidRPr="007D2FC0">
        <w:rPr>
          <w:rFonts w:ascii="Garamond" w:hAnsi="Garamond"/>
          <w:bCs/>
          <w:i/>
          <w:iCs/>
        </w:rPr>
        <w:t>Presenters:</w:t>
      </w:r>
    </w:p>
    <w:p w14:paraId="7731D797" w14:textId="3D9AA24D" w:rsidR="002D41A9" w:rsidRPr="00610D83" w:rsidRDefault="00233020" w:rsidP="00610D83">
      <w:pPr>
        <w:ind w:left="720" w:hanging="720"/>
        <w:rPr>
          <w:rFonts w:ascii="Garamond" w:hAnsi="Garamond"/>
          <w:b/>
          <w:bCs/>
        </w:rPr>
      </w:pPr>
      <w:r>
        <w:rPr>
          <w:rFonts w:ascii="Garamond" w:hAnsi="Garamond"/>
          <w:b/>
          <w:bCs/>
        </w:rPr>
        <w:t>David</w:t>
      </w:r>
      <w:r w:rsidR="00610D83">
        <w:rPr>
          <w:rFonts w:ascii="Garamond" w:hAnsi="Garamond"/>
          <w:b/>
          <w:bCs/>
        </w:rPr>
        <w:t xml:space="preserve"> A. Brennen</w:t>
      </w:r>
      <w:r w:rsidR="002D41A9" w:rsidRPr="00610D83">
        <w:rPr>
          <w:rFonts w:ascii="Garamond" w:hAnsi="Garamond"/>
        </w:rPr>
        <w:t xml:space="preserve">, </w:t>
      </w:r>
      <w:r w:rsidR="00610D83" w:rsidRPr="00610D83">
        <w:rPr>
          <w:rFonts w:ascii="Garamond" w:hAnsi="Garamond"/>
        </w:rPr>
        <w:t xml:space="preserve">Frost, Brown &amp; Todd Professor of Law, University of Kentucky Rosenberg School of Law, </w:t>
      </w:r>
      <w:r w:rsidR="00610D83" w:rsidRPr="00610D83">
        <w:rPr>
          <w:rFonts w:ascii="Garamond" w:hAnsi="Garamond"/>
          <w:i/>
          <w:iCs/>
        </w:rPr>
        <w:t xml:space="preserve">Race Conscious Affirmative Action by Tax Exempt 501(c)(3) Schools and Colleges After </w:t>
      </w:r>
      <w:r w:rsidR="00610D83" w:rsidRPr="00610D83">
        <w:rPr>
          <w:rFonts w:ascii="Garamond" w:hAnsi="Garamond"/>
        </w:rPr>
        <w:t>Students for Fair Admissions v. Harvard and UNC</w:t>
      </w:r>
    </w:p>
    <w:p w14:paraId="1750427F" w14:textId="75E870AE" w:rsidR="00610D83" w:rsidRDefault="00233020" w:rsidP="00610D83">
      <w:pPr>
        <w:ind w:left="720" w:hanging="720"/>
        <w:rPr>
          <w:rFonts w:ascii="Garamond" w:hAnsi="Garamond"/>
          <w:bCs/>
          <w:i/>
          <w:iCs/>
        </w:rPr>
      </w:pPr>
      <w:r>
        <w:rPr>
          <w:rFonts w:ascii="Garamond" w:hAnsi="Garamond"/>
          <w:b/>
          <w:bCs/>
        </w:rPr>
        <w:t>Sam</w:t>
      </w:r>
      <w:r w:rsidR="00610D83">
        <w:rPr>
          <w:rFonts w:ascii="Garamond" w:hAnsi="Garamond"/>
          <w:b/>
          <w:bCs/>
        </w:rPr>
        <w:t>uel D. Brunson</w:t>
      </w:r>
      <w:r w:rsidR="00610D83" w:rsidRPr="00610D83">
        <w:rPr>
          <w:rFonts w:ascii="Garamond" w:hAnsi="Garamond"/>
        </w:rPr>
        <w:t>, Georgia Reithal Professor of Law, Associate Dean for Faculty Research and Development, Loy</w:t>
      </w:r>
      <w:r w:rsidR="009C4DE4">
        <w:rPr>
          <w:rFonts w:ascii="Garamond" w:hAnsi="Garamond"/>
        </w:rPr>
        <w:t>o</w:t>
      </w:r>
      <w:r w:rsidR="00610D83" w:rsidRPr="00610D83">
        <w:rPr>
          <w:rFonts w:ascii="Garamond" w:hAnsi="Garamond"/>
        </w:rPr>
        <w:t>la University Chicago School of Law</w:t>
      </w:r>
      <w:r>
        <w:rPr>
          <w:rFonts w:ascii="Garamond" w:hAnsi="Garamond"/>
        </w:rPr>
        <w:t xml:space="preserve">, </w:t>
      </w:r>
      <w:r w:rsidR="00610D83" w:rsidRPr="00610D83">
        <w:rPr>
          <w:rFonts w:ascii="Garamond" w:hAnsi="Garamond"/>
          <w:bCs/>
          <w:i/>
          <w:iCs/>
        </w:rPr>
        <w:t>Black Charity Without Subsidy</w:t>
      </w:r>
    </w:p>
    <w:p w14:paraId="2207D710" w14:textId="77777777" w:rsidR="00AF6A86" w:rsidRPr="00510480" w:rsidRDefault="00AF6A86" w:rsidP="00A66314">
      <w:pPr>
        <w:ind w:left="720" w:hanging="720"/>
        <w:rPr>
          <w:rFonts w:ascii="Garamond" w:hAnsi="Garamond"/>
          <w:i/>
          <w:iCs/>
          <w:color w:val="000000" w:themeColor="text1"/>
        </w:rPr>
      </w:pPr>
      <w:r>
        <w:rPr>
          <w:rFonts w:ascii="Garamond" w:hAnsi="Garamond"/>
          <w:b/>
          <w:bCs/>
          <w:color w:val="000000" w:themeColor="text1"/>
        </w:rPr>
        <w:t xml:space="preserve">Steven A. </w:t>
      </w:r>
      <w:r w:rsidRPr="00510480">
        <w:rPr>
          <w:rFonts w:ascii="Garamond" w:hAnsi="Garamond"/>
          <w:b/>
          <w:bCs/>
          <w:color w:val="000000" w:themeColor="text1"/>
        </w:rPr>
        <w:t>Dean</w:t>
      </w:r>
      <w:r>
        <w:rPr>
          <w:rFonts w:ascii="Garamond" w:hAnsi="Garamond"/>
          <w:color w:val="000000" w:themeColor="text1"/>
        </w:rPr>
        <w:t xml:space="preserve">, Professor of Law, Brooklyn Law School, and </w:t>
      </w:r>
      <w:proofErr w:type="spellStart"/>
      <w:r w:rsidRPr="0064272F">
        <w:rPr>
          <w:rFonts w:ascii="Garamond" w:hAnsi="Garamond"/>
          <w:b/>
          <w:bCs/>
          <w:color w:val="000000" w:themeColor="text1"/>
        </w:rPr>
        <w:t>Attiya</w:t>
      </w:r>
      <w:proofErr w:type="spellEnd"/>
      <w:r w:rsidRPr="0064272F">
        <w:rPr>
          <w:rFonts w:ascii="Garamond" w:hAnsi="Garamond"/>
          <w:b/>
          <w:bCs/>
          <w:color w:val="000000" w:themeColor="text1"/>
        </w:rPr>
        <w:t xml:space="preserve"> </w:t>
      </w:r>
      <w:proofErr w:type="spellStart"/>
      <w:r w:rsidRPr="0064272F">
        <w:rPr>
          <w:rFonts w:ascii="Garamond" w:hAnsi="Garamond"/>
          <w:b/>
          <w:bCs/>
          <w:color w:val="000000" w:themeColor="text1"/>
        </w:rPr>
        <w:t>Waris</w:t>
      </w:r>
      <w:proofErr w:type="spellEnd"/>
      <w:r>
        <w:rPr>
          <w:rFonts w:ascii="Garamond" w:hAnsi="Garamond"/>
          <w:color w:val="000000" w:themeColor="text1"/>
        </w:rPr>
        <w:t xml:space="preserve">, </w:t>
      </w:r>
      <w:r w:rsidRPr="00036321">
        <w:rPr>
          <w:rFonts w:ascii="Garamond" w:hAnsi="Garamond"/>
          <w:color w:val="000000" w:themeColor="text1"/>
        </w:rPr>
        <w:t>Associate Professor, Faculty of Law, University of Nairobi (Nairobi, Kenya)</w:t>
      </w:r>
      <w:r>
        <w:rPr>
          <w:rFonts w:ascii="Garamond" w:hAnsi="Garamond"/>
          <w:color w:val="000000" w:themeColor="text1"/>
        </w:rPr>
        <w:t xml:space="preserve">, </w:t>
      </w:r>
      <w:r w:rsidRPr="00510480">
        <w:rPr>
          <w:rFonts w:ascii="Garamond" w:hAnsi="Garamond"/>
          <w:i/>
          <w:iCs/>
          <w:color w:val="000000" w:themeColor="text1"/>
        </w:rPr>
        <w:t>10 More Truths about International Taxation </w:t>
      </w:r>
    </w:p>
    <w:p w14:paraId="0F304A13" w14:textId="5CDCD2FF" w:rsidR="00D33AFA" w:rsidRPr="00D33AFA" w:rsidRDefault="00AD3237" w:rsidP="00D33AFA">
      <w:pPr>
        <w:ind w:left="720" w:hanging="720"/>
        <w:rPr>
          <w:rFonts w:ascii="Garamond" w:hAnsi="Garamond"/>
          <w:bCs/>
          <w:i/>
        </w:rPr>
      </w:pPr>
      <w:r>
        <w:rPr>
          <w:rFonts w:ascii="Garamond" w:hAnsi="Garamond"/>
          <w:b/>
          <w:bCs/>
        </w:rPr>
        <w:t>Darryl</w:t>
      </w:r>
      <w:r w:rsidR="001247EA">
        <w:rPr>
          <w:rFonts w:ascii="Garamond" w:hAnsi="Garamond"/>
          <w:b/>
          <w:bCs/>
        </w:rPr>
        <w:t>l</w:t>
      </w:r>
      <w:r w:rsidR="00D33AFA">
        <w:rPr>
          <w:rFonts w:ascii="Garamond" w:hAnsi="Garamond"/>
          <w:b/>
          <w:bCs/>
        </w:rPr>
        <w:t xml:space="preserve"> K. Jones, </w:t>
      </w:r>
      <w:r w:rsidR="00D33AFA">
        <w:rPr>
          <w:rFonts w:ascii="Garamond" w:hAnsi="Garamond"/>
          <w:bCs/>
        </w:rPr>
        <w:t xml:space="preserve">Professor of Law, Florida A&amp;M University College of Law, </w:t>
      </w:r>
      <w:r w:rsidR="00D33AFA" w:rsidRPr="00D33AFA">
        <w:rPr>
          <w:rFonts w:ascii="Garamond" w:hAnsi="Garamond"/>
          <w:bCs/>
          <w:i/>
        </w:rPr>
        <w:t xml:space="preserve">Fundamental </w:t>
      </w:r>
      <w:r w:rsidR="00D33AFA">
        <w:rPr>
          <w:rFonts w:ascii="Garamond" w:hAnsi="Garamond"/>
          <w:bCs/>
          <w:i/>
        </w:rPr>
        <w:t>a</w:t>
      </w:r>
      <w:r w:rsidR="00D33AFA" w:rsidRPr="00D33AFA">
        <w:rPr>
          <w:rFonts w:ascii="Garamond" w:hAnsi="Garamond"/>
          <w:bCs/>
          <w:i/>
        </w:rPr>
        <w:t xml:space="preserve">nd </w:t>
      </w:r>
      <w:r w:rsidR="00D33AFA">
        <w:rPr>
          <w:rFonts w:ascii="Garamond" w:hAnsi="Garamond"/>
          <w:bCs/>
          <w:i/>
        </w:rPr>
        <w:t>A</w:t>
      </w:r>
      <w:r w:rsidR="00D33AFA" w:rsidRPr="00D33AFA">
        <w:rPr>
          <w:rFonts w:ascii="Garamond" w:hAnsi="Garamond"/>
          <w:bCs/>
          <w:i/>
        </w:rPr>
        <w:t xml:space="preserve">pplied Research Regarding Tax Exemption </w:t>
      </w:r>
      <w:r w:rsidR="00A66314">
        <w:rPr>
          <w:rFonts w:ascii="Garamond" w:hAnsi="Garamond"/>
          <w:bCs/>
          <w:i/>
        </w:rPr>
        <w:t>f</w:t>
      </w:r>
      <w:r w:rsidR="00D33AFA" w:rsidRPr="00D33AFA">
        <w:rPr>
          <w:rFonts w:ascii="Garamond" w:hAnsi="Garamond"/>
          <w:bCs/>
          <w:i/>
        </w:rPr>
        <w:t>or Hate Groups</w:t>
      </w:r>
    </w:p>
    <w:p w14:paraId="295BE64B" w14:textId="7CF5D4CA" w:rsidR="00AD3237" w:rsidRPr="00D33AFA" w:rsidRDefault="00AD3237" w:rsidP="00262AA9">
      <w:pPr>
        <w:ind w:left="720" w:hanging="720"/>
        <w:rPr>
          <w:rFonts w:ascii="Garamond" w:hAnsi="Garamond"/>
          <w:i/>
          <w:iCs/>
        </w:rPr>
      </w:pPr>
    </w:p>
    <w:p w14:paraId="323CDD23" w14:textId="77777777" w:rsidR="002D41A9" w:rsidRPr="007D2FC0" w:rsidRDefault="002D41A9" w:rsidP="002D41A9">
      <w:pPr>
        <w:pBdr>
          <w:bottom w:val="single" w:sz="6" w:space="1" w:color="auto"/>
        </w:pBdr>
        <w:rPr>
          <w:rFonts w:ascii="Garamond" w:hAnsi="Garamond"/>
        </w:rPr>
      </w:pPr>
    </w:p>
    <w:p w14:paraId="63FC4408" w14:textId="77777777" w:rsidR="002D41A9" w:rsidRPr="007D2FC0" w:rsidRDefault="002D41A9" w:rsidP="002D41A9">
      <w:pPr>
        <w:rPr>
          <w:rFonts w:ascii="Garamond" w:hAnsi="Garamond"/>
        </w:rPr>
      </w:pPr>
    </w:p>
    <w:p w14:paraId="5FCAC936" w14:textId="4AA8A526" w:rsidR="002D41A9" w:rsidRDefault="002D41A9" w:rsidP="00EA7035">
      <w:pPr>
        <w:ind w:left="2160" w:hanging="2160"/>
        <w:rPr>
          <w:rFonts w:ascii="Garamond" w:hAnsi="Garamond"/>
          <w:i/>
          <w:iCs/>
        </w:rPr>
      </w:pPr>
      <w:r w:rsidRPr="007D2FC0">
        <w:rPr>
          <w:rFonts w:ascii="Garamond" w:hAnsi="Garamond"/>
          <w:i/>
          <w:iCs/>
        </w:rPr>
        <w:t>1</w:t>
      </w:r>
      <w:r w:rsidR="001F0B5A">
        <w:rPr>
          <w:rFonts w:ascii="Garamond" w:hAnsi="Garamond"/>
          <w:i/>
          <w:iCs/>
        </w:rPr>
        <w:t>1:</w:t>
      </w:r>
      <w:r w:rsidR="00AD6455">
        <w:rPr>
          <w:rFonts w:ascii="Garamond" w:hAnsi="Garamond"/>
          <w:i/>
          <w:iCs/>
        </w:rPr>
        <w:t>45</w:t>
      </w:r>
      <w:r w:rsidR="001F0B5A">
        <w:rPr>
          <w:rFonts w:ascii="Garamond" w:hAnsi="Garamond"/>
          <w:i/>
          <w:iCs/>
        </w:rPr>
        <w:t xml:space="preserve"> AM – 1</w:t>
      </w:r>
      <w:r w:rsidRPr="007D2FC0">
        <w:rPr>
          <w:rFonts w:ascii="Garamond" w:hAnsi="Garamond"/>
          <w:i/>
          <w:iCs/>
        </w:rPr>
        <w:t xml:space="preserve"> </w:t>
      </w:r>
      <w:r w:rsidR="00262AA9">
        <w:rPr>
          <w:rFonts w:ascii="Garamond" w:hAnsi="Garamond"/>
          <w:i/>
          <w:iCs/>
        </w:rPr>
        <w:t>P</w:t>
      </w:r>
      <w:r w:rsidRPr="007D2FC0">
        <w:rPr>
          <w:rFonts w:ascii="Garamond" w:hAnsi="Garamond"/>
          <w:i/>
          <w:iCs/>
        </w:rPr>
        <w:t>M</w:t>
      </w:r>
      <w:r w:rsidRPr="007D2FC0">
        <w:rPr>
          <w:rFonts w:ascii="Garamond" w:hAnsi="Garamond"/>
          <w:i/>
          <w:iCs/>
        </w:rPr>
        <w:tab/>
      </w:r>
      <w:r w:rsidR="00262AA9">
        <w:rPr>
          <w:rFonts w:ascii="Garamond" w:hAnsi="Garamond"/>
          <w:i/>
          <w:iCs/>
        </w:rPr>
        <w:t>Lunch</w:t>
      </w:r>
      <w:r w:rsidR="00EA7035">
        <w:rPr>
          <w:rFonts w:ascii="Garamond" w:hAnsi="Garamond"/>
          <w:i/>
          <w:iCs/>
        </w:rPr>
        <w:t xml:space="preserve"> and Welcome Remarks: Jessica Hough, Partner, Skadden, Arps, Slate, Meagher &amp; </w:t>
      </w:r>
      <w:proofErr w:type="spellStart"/>
      <w:r w:rsidR="00EA7035">
        <w:rPr>
          <w:rFonts w:ascii="Garamond" w:hAnsi="Garamond"/>
          <w:i/>
          <w:iCs/>
        </w:rPr>
        <w:t>Flom</w:t>
      </w:r>
      <w:proofErr w:type="spellEnd"/>
      <w:r w:rsidR="00EA7035">
        <w:rPr>
          <w:rFonts w:ascii="Garamond" w:hAnsi="Garamond"/>
          <w:i/>
          <w:iCs/>
        </w:rPr>
        <w:t>, LLP and Head of the Firm’s Washington, DC, Office</w:t>
      </w:r>
    </w:p>
    <w:p w14:paraId="42D47048" w14:textId="61EDE3F5" w:rsidR="00F56F14" w:rsidRDefault="00F56F14" w:rsidP="00EA7035">
      <w:pPr>
        <w:ind w:left="2160" w:hanging="2160"/>
        <w:rPr>
          <w:rFonts w:ascii="Garamond" w:hAnsi="Garamond"/>
          <w:i/>
          <w:iCs/>
        </w:rPr>
      </w:pPr>
    </w:p>
    <w:p w14:paraId="7E4F0D89" w14:textId="557CAE36" w:rsidR="00F56F14" w:rsidRPr="006C665B" w:rsidRDefault="00F56F14" w:rsidP="006C665B">
      <w:pPr>
        <w:ind w:left="2160"/>
        <w:rPr>
          <w:rFonts w:ascii="Garamond" w:hAnsi="Garamond"/>
        </w:rPr>
      </w:pPr>
      <w:r>
        <w:rPr>
          <w:rFonts w:ascii="Garamond" w:hAnsi="Garamond"/>
        </w:rPr>
        <w:t>We have placed at the center of each table small cards with discussion questions that participants are warmly invited to take up in informal small group discussion over lunch. Otherwise, feel free to use the remaining time as you see fit.</w:t>
      </w:r>
    </w:p>
    <w:p w14:paraId="01960273" w14:textId="77777777" w:rsidR="002D41A9" w:rsidRPr="007D2FC0" w:rsidRDefault="002D41A9" w:rsidP="002D41A9">
      <w:pPr>
        <w:pBdr>
          <w:bottom w:val="single" w:sz="6" w:space="1" w:color="auto"/>
        </w:pBdr>
        <w:rPr>
          <w:rFonts w:ascii="Garamond" w:hAnsi="Garamond"/>
          <w:i/>
          <w:iCs/>
        </w:rPr>
      </w:pPr>
    </w:p>
    <w:p w14:paraId="5B64AA7B" w14:textId="77777777" w:rsidR="00BF29A9" w:rsidRDefault="00BF29A9" w:rsidP="002D41A9">
      <w:pPr>
        <w:rPr>
          <w:rFonts w:ascii="Garamond" w:hAnsi="Garamond"/>
          <w:i/>
          <w:iCs/>
        </w:rPr>
      </w:pPr>
    </w:p>
    <w:p w14:paraId="7BE15AA1" w14:textId="29DE9772" w:rsidR="00610D83" w:rsidRPr="00A96768" w:rsidRDefault="002D41A9" w:rsidP="002D41A9">
      <w:pPr>
        <w:rPr>
          <w:rFonts w:ascii="Garamond" w:hAnsi="Garamond"/>
          <w:i/>
          <w:iCs/>
        </w:rPr>
      </w:pPr>
      <w:r w:rsidRPr="00A96768">
        <w:rPr>
          <w:rFonts w:ascii="Garamond" w:hAnsi="Garamond"/>
          <w:i/>
          <w:iCs/>
        </w:rPr>
        <w:t>1</w:t>
      </w:r>
      <w:r w:rsidR="007F213A">
        <w:rPr>
          <w:rFonts w:ascii="Garamond" w:hAnsi="Garamond"/>
          <w:i/>
          <w:iCs/>
        </w:rPr>
        <w:t xml:space="preserve"> </w:t>
      </w:r>
      <w:r w:rsidRPr="00A96768">
        <w:rPr>
          <w:rFonts w:ascii="Garamond" w:hAnsi="Garamond"/>
          <w:i/>
          <w:iCs/>
        </w:rPr>
        <w:t xml:space="preserve">PM – </w:t>
      </w:r>
      <w:r w:rsidR="007724AD" w:rsidRPr="00A96768">
        <w:rPr>
          <w:rFonts w:ascii="Garamond" w:hAnsi="Garamond"/>
          <w:i/>
          <w:iCs/>
        </w:rPr>
        <w:t>2</w:t>
      </w:r>
      <w:r w:rsidRPr="00A96768">
        <w:rPr>
          <w:rFonts w:ascii="Garamond" w:hAnsi="Garamond"/>
          <w:i/>
          <w:iCs/>
        </w:rPr>
        <w:t>:</w:t>
      </w:r>
      <w:r w:rsidR="007F213A">
        <w:rPr>
          <w:rFonts w:ascii="Garamond" w:hAnsi="Garamond"/>
          <w:i/>
          <w:iCs/>
        </w:rPr>
        <w:t>15</w:t>
      </w:r>
      <w:r w:rsidRPr="00A96768">
        <w:rPr>
          <w:rFonts w:ascii="Garamond" w:hAnsi="Garamond"/>
          <w:i/>
          <w:iCs/>
        </w:rPr>
        <w:t xml:space="preserve"> PM</w:t>
      </w:r>
      <w:r w:rsidRPr="00A96768">
        <w:rPr>
          <w:rFonts w:ascii="Garamond" w:hAnsi="Garamond"/>
          <w:i/>
          <w:iCs/>
        </w:rPr>
        <w:tab/>
      </w:r>
      <w:r w:rsidRPr="00A96768">
        <w:rPr>
          <w:rFonts w:ascii="Garamond" w:hAnsi="Garamond"/>
          <w:i/>
          <w:iCs/>
        </w:rPr>
        <w:tab/>
      </w:r>
    </w:p>
    <w:p w14:paraId="75300D32" w14:textId="2D919C5D" w:rsidR="002D41A9" w:rsidRPr="007D2FC0" w:rsidRDefault="002D41A9" w:rsidP="002D41A9">
      <w:pPr>
        <w:rPr>
          <w:rFonts w:ascii="Garamond" w:hAnsi="Garamond"/>
          <w:b/>
          <w:bCs/>
          <w:iCs/>
        </w:rPr>
      </w:pPr>
      <w:r w:rsidRPr="007D2FC0">
        <w:rPr>
          <w:rFonts w:ascii="Garamond" w:hAnsi="Garamond"/>
          <w:b/>
          <w:bCs/>
          <w:iCs/>
        </w:rPr>
        <w:t xml:space="preserve">Panel III: </w:t>
      </w:r>
      <w:r w:rsidR="00EA7035">
        <w:rPr>
          <w:rFonts w:ascii="Garamond" w:hAnsi="Garamond"/>
          <w:b/>
          <w:bCs/>
          <w:iCs/>
        </w:rPr>
        <w:t xml:space="preserve"> </w:t>
      </w:r>
      <w:r w:rsidR="00030398">
        <w:rPr>
          <w:rFonts w:ascii="Garamond" w:hAnsi="Garamond"/>
          <w:b/>
          <w:bCs/>
          <w:iCs/>
        </w:rPr>
        <w:t>Systemic Inequalit</w:t>
      </w:r>
      <w:r w:rsidR="00903286">
        <w:rPr>
          <w:rFonts w:ascii="Garamond" w:hAnsi="Garamond"/>
          <w:b/>
          <w:bCs/>
          <w:iCs/>
        </w:rPr>
        <w:t>ies Undergirding</w:t>
      </w:r>
      <w:r w:rsidR="00030398">
        <w:rPr>
          <w:rFonts w:ascii="Garamond" w:hAnsi="Garamond"/>
          <w:b/>
          <w:bCs/>
          <w:iCs/>
        </w:rPr>
        <w:t xml:space="preserve"> Facially Neutral Tax Laws</w:t>
      </w:r>
    </w:p>
    <w:p w14:paraId="4F77236F" w14:textId="77777777" w:rsidR="002D41A9" w:rsidRPr="007D2FC0" w:rsidRDefault="002D41A9" w:rsidP="002D41A9">
      <w:pPr>
        <w:rPr>
          <w:rFonts w:ascii="Garamond" w:hAnsi="Garamond"/>
          <w:iCs/>
        </w:rPr>
      </w:pPr>
    </w:p>
    <w:p w14:paraId="2897454C" w14:textId="65AB7AF6" w:rsidR="002D41A9" w:rsidRPr="007D2FC0" w:rsidRDefault="007724AD" w:rsidP="002D41A9">
      <w:pPr>
        <w:rPr>
          <w:rFonts w:ascii="Garamond" w:hAnsi="Garamond"/>
          <w:iCs/>
        </w:rPr>
      </w:pPr>
      <w:r>
        <w:rPr>
          <w:rFonts w:ascii="Garamond" w:hAnsi="Garamond"/>
          <w:iCs/>
        </w:rPr>
        <w:t>Description</w:t>
      </w:r>
    </w:p>
    <w:p w14:paraId="4E4A44A2" w14:textId="56EA8F4F" w:rsidR="002D41A9" w:rsidRDefault="00030398" w:rsidP="002D41A9">
      <w:pPr>
        <w:rPr>
          <w:rFonts w:ascii="Garamond" w:hAnsi="Garamond"/>
          <w:iCs/>
        </w:rPr>
      </w:pPr>
      <w:r>
        <w:rPr>
          <w:rFonts w:ascii="Garamond" w:hAnsi="Garamond"/>
          <w:iCs/>
        </w:rPr>
        <w:t>The Internal Revenue Code does not provide that taxpayers are subject to different rules because of the color of their skin, and yet the tax laws have undeniable racialized impacts. Certain educational tax benefits, for example, disproportionately benefit white families.</w:t>
      </w:r>
      <w:r w:rsidR="00FD3D9B">
        <w:rPr>
          <w:rFonts w:ascii="Garamond" w:hAnsi="Garamond"/>
          <w:iCs/>
        </w:rPr>
        <w:t xml:space="preserve"> Laws intended to encourage economic investment in financially distressed communities have led to luxury housing and student housing in some places. What type of evidence will be sufficient to persuade the general public of the racialized impacts of seemingly neutral tax laws? How is it possible to use the tax system, as well as tax rhetoric, </w:t>
      </w:r>
      <w:r w:rsidR="00903286">
        <w:rPr>
          <w:rFonts w:ascii="Garamond" w:hAnsi="Garamond"/>
          <w:iCs/>
        </w:rPr>
        <w:t>to move toward a society that is more racially equitable? How can tax policy, together with other law reform, be harnessed to address remedy race-based income and wealth inequalities?</w:t>
      </w:r>
    </w:p>
    <w:p w14:paraId="5D33295D" w14:textId="77777777" w:rsidR="00030398" w:rsidRPr="007D2FC0" w:rsidRDefault="00030398" w:rsidP="002D41A9">
      <w:pPr>
        <w:rPr>
          <w:rFonts w:ascii="Garamond" w:hAnsi="Garamond"/>
          <w:iCs/>
        </w:rPr>
      </w:pPr>
    </w:p>
    <w:p w14:paraId="2DFCA7B5" w14:textId="06EA488B" w:rsidR="00DC5BA3" w:rsidRPr="007D2FC0" w:rsidRDefault="002D41A9" w:rsidP="00DC5BA3">
      <w:pPr>
        <w:rPr>
          <w:rFonts w:ascii="Garamond" w:hAnsi="Garamond"/>
          <w:bCs/>
        </w:rPr>
      </w:pPr>
      <w:r w:rsidRPr="007D2FC0">
        <w:rPr>
          <w:rFonts w:ascii="Garamond" w:hAnsi="Garamond"/>
          <w:bCs/>
          <w:i/>
          <w:iCs/>
        </w:rPr>
        <w:t>Moderator:</w:t>
      </w:r>
      <w:r w:rsidRPr="007D2FC0">
        <w:rPr>
          <w:rFonts w:ascii="Garamond" w:hAnsi="Garamond"/>
          <w:bCs/>
        </w:rPr>
        <w:t xml:space="preserve"> </w:t>
      </w:r>
      <w:r w:rsidR="00834F16">
        <w:rPr>
          <w:rFonts w:ascii="Garamond" w:hAnsi="Garamond"/>
          <w:b/>
          <w:bCs/>
        </w:rPr>
        <w:t>Anthony C. Infanti</w:t>
      </w:r>
      <w:r w:rsidR="00834F16" w:rsidRPr="00AF43D9">
        <w:rPr>
          <w:rFonts w:ascii="Garamond" w:hAnsi="Garamond"/>
        </w:rPr>
        <w:t xml:space="preserve">, </w:t>
      </w:r>
      <w:r w:rsidR="00834F16" w:rsidRPr="001D2EC9">
        <w:rPr>
          <w:rFonts w:ascii="Garamond" w:eastAsia="Calibri" w:hAnsi="Garamond" w:cs="Calibri"/>
        </w:rPr>
        <w:t>Christopher C. Walthour, Sr. Professor of Law</w:t>
      </w:r>
      <w:r w:rsidR="00834F16">
        <w:rPr>
          <w:rFonts w:ascii="Garamond" w:eastAsia="Calibri" w:hAnsi="Garamond" w:cs="Calibri"/>
        </w:rPr>
        <w:t>, University of Pittsburgh School of Law</w:t>
      </w:r>
    </w:p>
    <w:p w14:paraId="1237D465" w14:textId="4DEAF679" w:rsidR="002D41A9" w:rsidRPr="00DC5BA3" w:rsidRDefault="002D41A9" w:rsidP="002D41A9">
      <w:pPr>
        <w:rPr>
          <w:rFonts w:ascii="Garamond" w:hAnsi="Garamond"/>
          <w:bCs/>
        </w:rPr>
      </w:pPr>
    </w:p>
    <w:p w14:paraId="02DBDC7E" w14:textId="77777777" w:rsidR="002D41A9" w:rsidRPr="007D2FC0" w:rsidRDefault="002D41A9" w:rsidP="002D41A9">
      <w:pPr>
        <w:rPr>
          <w:rFonts w:ascii="Garamond" w:hAnsi="Garamond"/>
          <w:bCs/>
          <w:i/>
          <w:iCs/>
        </w:rPr>
      </w:pPr>
    </w:p>
    <w:p w14:paraId="47A69149" w14:textId="20342B06" w:rsidR="002D41A9" w:rsidRDefault="002D41A9" w:rsidP="002D41A9">
      <w:pPr>
        <w:rPr>
          <w:rFonts w:ascii="Garamond" w:hAnsi="Garamond"/>
          <w:bCs/>
          <w:i/>
          <w:iCs/>
        </w:rPr>
      </w:pPr>
      <w:r w:rsidRPr="007D2FC0">
        <w:rPr>
          <w:rFonts w:ascii="Garamond" w:hAnsi="Garamond"/>
          <w:bCs/>
          <w:i/>
          <w:iCs/>
        </w:rPr>
        <w:t>Presenters:</w:t>
      </w:r>
    </w:p>
    <w:p w14:paraId="02505C1B" w14:textId="0AA2CEF5" w:rsidR="00030398" w:rsidRPr="00030398" w:rsidRDefault="001C4EF5" w:rsidP="00030398">
      <w:pPr>
        <w:ind w:left="720" w:hanging="720"/>
        <w:rPr>
          <w:rFonts w:ascii="Garamond" w:hAnsi="Garamond"/>
          <w:i/>
          <w:iCs/>
        </w:rPr>
      </w:pPr>
      <w:r>
        <w:rPr>
          <w:rFonts w:ascii="Garamond" w:hAnsi="Garamond"/>
          <w:b/>
          <w:bCs/>
        </w:rPr>
        <w:t>Victor</w:t>
      </w:r>
      <w:r w:rsidR="003E6225">
        <w:rPr>
          <w:rFonts w:ascii="Garamond" w:hAnsi="Garamond"/>
          <w:b/>
          <w:bCs/>
        </w:rPr>
        <w:t>i</w:t>
      </w:r>
      <w:r>
        <w:rPr>
          <w:rFonts w:ascii="Garamond" w:hAnsi="Garamond"/>
          <w:b/>
          <w:bCs/>
        </w:rPr>
        <w:t>a J. Haneman</w:t>
      </w:r>
      <w:r w:rsidRPr="001C4EF5">
        <w:rPr>
          <w:rFonts w:ascii="Garamond" w:hAnsi="Garamond"/>
        </w:rPr>
        <w:t xml:space="preserve">, Frank J. Kellegher Professor of Trusts &amp; Estates, Creighton University School of Law, </w:t>
      </w:r>
      <w:r w:rsidR="00030398" w:rsidRPr="00030398">
        <w:rPr>
          <w:rFonts w:ascii="Garamond" w:hAnsi="Garamond"/>
          <w:i/>
          <w:iCs/>
        </w:rPr>
        <w:t>Systemic Racism and 529 Plans</w:t>
      </w:r>
      <w:r w:rsidR="00030398" w:rsidRPr="00030398">
        <w:rPr>
          <w:rFonts w:ascii="Garamond" w:hAnsi="Garamond"/>
          <w:b/>
          <w:bCs/>
          <w:i/>
          <w:iCs/>
        </w:rPr>
        <w:t xml:space="preserve">  </w:t>
      </w:r>
    </w:p>
    <w:p w14:paraId="6DE606CD" w14:textId="34D09D81" w:rsidR="001C4EF5" w:rsidRPr="00030398" w:rsidRDefault="001C4EF5" w:rsidP="00030398">
      <w:pPr>
        <w:ind w:left="720" w:hanging="720"/>
        <w:rPr>
          <w:rFonts w:ascii="Garamond" w:hAnsi="Garamond"/>
        </w:rPr>
      </w:pPr>
      <w:r>
        <w:rPr>
          <w:rFonts w:ascii="Garamond" w:hAnsi="Garamond"/>
          <w:b/>
          <w:bCs/>
        </w:rPr>
        <w:t>Tracy Kaye</w:t>
      </w:r>
      <w:r w:rsidRPr="00A21070">
        <w:rPr>
          <w:rFonts w:ascii="Garamond" w:hAnsi="Garamond"/>
        </w:rPr>
        <w:t xml:space="preserve">, </w:t>
      </w:r>
      <w:r>
        <w:rPr>
          <w:rFonts w:ascii="Garamond" w:hAnsi="Garamond"/>
        </w:rPr>
        <w:t xml:space="preserve">Seton Hall University School of Law, </w:t>
      </w:r>
      <w:r w:rsidRPr="00030398">
        <w:rPr>
          <w:rFonts w:ascii="Garamond" w:hAnsi="Garamond"/>
        </w:rPr>
        <w:t xml:space="preserve">and </w:t>
      </w:r>
      <w:r w:rsidR="00030398" w:rsidRPr="0064272F">
        <w:rPr>
          <w:rFonts w:ascii="Garamond" w:hAnsi="Garamond"/>
          <w:b/>
          <w:bCs/>
        </w:rPr>
        <w:t>Andrew J. Greenlee</w:t>
      </w:r>
      <w:r w:rsidR="00030398" w:rsidRPr="00030398">
        <w:rPr>
          <w:rFonts w:ascii="Garamond" w:hAnsi="Garamond"/>
        </w:rPr>
        <w:t>, Associate Professor, Department of Urban and Regional Planning, University of Illinois at Urbana-Champaign</w:t>
      </w:r>
      <w:r w:rsidRPr="00030398">
        <w:rPr>
          <w:rFonts w:ascii="Garamond" w:hAnsi="Garamond"/>
        </w:rPr>
        <w:t xml:space="preserve">, </w:t>
      </w:r>
      <w:r w:rsidR="00030398">
        <w:rPr>
          <w:rFonts w:ascii="Garamond" w:hAnsi="Garamond"/>
          <w:i/>
          <w:iCs/>
        </w:rPr>
        <w:t>Opportunity Zones and Race</w:t>
      </w:r>
    </w:p>
    <w:p w14:paraId="6DFA33A4" w14:textId="7731D910" w:rsidR="00903286" w:rsidRPr="00903286" w:rsidRDefault="007724AD" w:rsidP="00903286">
      <w:pPr>
        <w:ind w:left="720" w:hanging="720"/>
        <w:rPr>
          <w:rFonts w:ascii="Garamond" w:hAnsi="Garamond"/>
          <w:b/>
          <w:bCs/>
          <w:i/>
          <w:iCs/>
        </w:rPr>
      </w:pPr>
      <w:r>
        <w:rPr>
          <w:rFonts w:ascii="Garamond" w:hAnsi="Garamond"/>
          <w:b/>
          <w:bCs/>
        </w:rPr>
        <w:t>Palma J. Strand</w:t>
      </w:r>
      <w:r>
        <w:rPr>
          <w:rFonts w:ascii="Garamond" w:hAnsi="Garamond"/>
        </w:rPr>
        <w:t xml:space="preserve">, Professor, </w:t>
      </w:r>
      <w:r w:rsidR="005576DB" w:rsidRPr="005576DB">
        <w:rPr>
          <w:rFonts w:ascii="Garamond" w:hAnsi="Garamond"/>
        </w:rPr>
        <w:t xml:space="preserve">Professor </w:t>
      </w:r>
      <w:r w:rsidR="00FB125C">
        <w:rPr>
          <w:rFonts w:ascii="Garamond" w:hAnsi="Garamond"/>
        </w:rPr>
        <w:t>o</w:t>
      </w:r>
      <w:r w:rsidR="005576DB" w:rsidRPr="005576DB">
        <w:rPr>
          <w:rFonts w:ascii="Garamond" w:hAnsi="Garamond"/>
        </w:rPr>
        <w:t>f Law at Negotiation and Conflict Resolution Program, Department of Interdisciplinary Studies, Creighton University Graduate School</w:t>
      </w:r>
      <w:r>
        <w:rPr>
          <w:rFonts w:ascii="Garamond" w:hAnsi="Garamond"/>
        </w:rPr>
        <w:t xml:space="preserve"> and</w:t>
      </w:r>
      <w:r w:rsidRPr="007724AD">
        <w:rPr>
          <w:rFonts w:ascii="Garamond" w:hAnsi="Garamond"/>
        </w:rPr>
        <w:t xml:space="preserve"> </w:t>
      </w:r>
      <w:r>
        <w:rPr>
          <w:rFonts w:ascii="Garamond" w:hAnsi="Garamond"/>
          <w:b/>
          <w:bCs/>
        </w:rPr>
        <w:t>Nicholas A. Mirkay</w:t>
      </w:r>
      <w:r w:rsidRPr="007724AD">
        <w:rPr>
          <w:rFonts w:ascii="Garamond" w:hAnsi="Garamond"/>
        </w:rPr>
        <w:t xml:space="preserve">, </w:t>
      </w:r>
      <w:r w:rsidR="002D41A9" w:rsidRPr="00A21070">
        <w:rPr>
          <w:rFonts w:ascii="Garamond" w:hAnsi="Garamond"/>
        </w:rPr>
        <w:t xml:space="preserve">Professor of Law and Associate Dean </w:t>
      </w:r>
      <w:r>
        <w:rPr>
          <w:rFonts w:ascii="Garamond" w:hAnsi="Garamond"/>
        </w:rPr>
        <w:t>for Academic Affairs</w:t>
      </w:r>
      <w:r w:rsidR="002D41A9" w:rsidRPr="00A21070">
        <w:rPr>
          <w:rFonts w:ascii="Garamond" w:hAnsi="Garamond"/>
        </w:rPr>
        <w:t xml:space="preserve">, </w:t>
      </w:r>
      <w:r>
        <w:rPr>
          <w:rFonts w:ascii="Garamond" w:hAnsi="Garamond"/>
        </w:rPr>
        <w:t xml:space="preserve">University of Hawai’i William S. Richardson School of Law, </w:t>
      </w:r>
      <w:r w:rsidR="00903286" w:rsidRPr="00903286">
        <w:rPr>
          <w:rFonts w:ascii="Garamond" w:hAnsi="Garamond"/>
          <w:i/>
          <w:iCs/>
        </w:rPr>
        <w:t>Creating a “Pro-Tax” Story for Racial Equity: Cross-Racial Interest Convergence, Human Dignity, and Government’s Duty of Care</w:t>
      </w:r>
    </w:p>
    <w:p w14:paraId="0B7286D4" w14:textId="6503404E" w:rsidR="001C4EF5" w:rsidRPr="007724AD" w:rsidRDefault="001C4EF5" w:rsidP="001C4EF5">
      <w:pPr>
        <w:ind w:left="720" w:hanging="720"/>
        <w:rPr>
          <w:rFonts w:ascii="Garamond" w:hAnsi="Garamond"/>
          <w:lang w:val="en"/>
        </w:rPr>
      </w:pPr>
      <w:r>
        <w:rPr>
          <w:rFonts w:ascii="Garamond" w:hAnsi="Garamond"/>
          <w:b/>
          <w:bCs/>
        </w:rPr>
        <w:t>Phyllis Taite</w:t>
      </w:r>
      <w:r w:rsidRPr="00A21070">
        <w:rPr>
          <w:rFonts w:ascii="Garamond" w:hAnsi="Garamond"/>
        </w:rPr>
        <w:t>, Professor of Law</w:t>
      </w:r>
      <w:r>
        <w:rPr>
          <w:rFonts w:ascii="Garamond" w:hAnsi="Garamond"/>
        </w:rPr>
        <w:t xml:space="preserve">, Oklahoma City University School </w:t>
      </w:r>
      <w:r w:rsidRPr="007724AD">
        <w:rPr>
          <w:rFonts w:ascii="Garamond" w:hAnsi="Garamond"/>
        </w:rPr>
        <w:t xml:space="preserve">of Law, </w:t>
      </w:r>
      <w:r w:rsidR="00510480" w:rsidRPr="00510480">
        <w:rPr>
          <w:rFonts w:ascii="Garamond" w:hAnsi="Garamond"/>
          <w:i/>
          <w:iCs/>
        </w:rPr>
        <w:t>Exploding Economic Inequality: Tax Policy as the Key to Address Wealth Inequality</w:t>
      </w:r>
    </w:p>
    <w:p w14:paraId="2E299959" w14:textId="77777777" w:rsidR="002D41A9" w:rsidRPr="007D2FC0" w:rsidRDefault="002D41A9" w:rsidP="002D41A9">
      <w:pPr>
        <w:pBdr>
          <w:bottom w:val="single" w:sz="6" w:space="1" w:color="auto"/>
        </w:pBdr>
        <w:rPr>
          <w:rFonts w:ascii="Garamond" w:hAnsi="Garamond"/>
        </w:rPr>
      </w:pPr>
    </w:p>
    <w:p w14:paraId="0CECB97C" w14:textId="77777777" w:rsidR="002D41A9" w:rsidRPr="007D2FC0" w:rsidRDefault="002D41A9" w:rsidP="002D41A9">
      <w:pPr>
        <w:rPr>
          <w:rFonts w:ascii="Garamond" w:hAnsi="Garamond"/>
          <w:i/>
          <w:iCs/>
        </w:rPr>
      </w:pPr>
    </w:p>
    <w:p w14:paraId="70948ED4" w14:textId="66B2F627" w:rsidR="002D41A9" w:rsidRDefault="001C4EF5" w:rsidP="002D41A9">
      <w:pPr>
        <w:rPr>
          <w:rFonts w:ascii="Garamond" w:hAnsi="Garamond"/>
          <w:i/>
          <w:iCs/>
        </w:rPr>
      </w:pPr>
      <w:r>
        <w:rPr>
          <w:rFonts w:ascii="Garamond" w:hAnsi="Garamond"/>
          <w:i/>
          <w:iCs/>
        </w:rPr>
        <w:t>2</w:t>
      </w:r>
      <w:r w:rsidR="002D41A9" w:rsidRPr="007D2FC0">
        <w:rPr>
          <w:rFonts w:ascii="Garamond" w:hAnsi="Garamond"/>
          <w:i/>
          <w:iCs/>
        </w:rPr>
        <w:t>:</w:t>
      </w:r>
      <w:r w:rsidR="007F213A">
        <w:rPr>
          <w:rFonts w:ascii="Garamond" w:hAnsi="Garamond"/>
          <w:i/>
          <w:iCs/>
        </w:rPr>
        <w:t>15</w:t>
      </w:r>
      <w:r w:rsidR="002D41A9" w:rsidRPr="007D2FC0">
        <w:rPr>
          <w:rFonts w:ascii="Garamond" w:hAnsi="Garamond"/>
          <w:i/>
          <w:iCs/>
        </w:rPr>
        <w:t xml:space="preserve"> PM – </w:t>
      </w:r>
      <w:r w:rsidR="00D837E2">
        <w:rPr>
          <w:rFonts w:ascii="Garamond" w:hAnsi="Garamond"/>
          <w:i/>
          <w:iCs/>
        </w:rPr>
        <w:t>2:</w:t>
      </w:r>
      <w:r w:rsidR="007F213A">
        <w:rPr>
          <w:rFonts w:ascii="Garamond" w:hAnsi="Garamond"/>
          <w:i/>
          <w:iCs/>
        </w:rPr>
        <w:t>30</w:t>
      </w:r>
      <w:r w:rsidR="002D41A9" w:rsidRPr="007D2FC0">
        <w:rPr>
          <w:rFonts w:ascii="Garamond" w:hAnsi="Garamond"/>
          <w:i/>
          <w:iCs/>
        </w:rPr>
        <w:t xml:space="preserve"> PM</w:t>
      </w:r>
    </w:p>
    <w:p w14:paraId="0E38517B" w14:textId="77777777" w:rsidR="002D41A9" w:rsidRPr="007D2FC0" w:rsidRDefault="002D41A9" w:rsidP="002D41A9">
      <w:pPr>
        <w:rPr>
          <w:rFonts w:ascii="Garamond" w:hAnsi="Garamond"/>
          <w:i/>
          <w:iCs/>
        </w:rPr>
      </w:pPr>
      <w:r w:rsidRPr="007D2FC0">
        <w:rPr>
          <w:rFonts w:ascii="Garamond" w:hAnsi="Garamond"/>
          <w:i/>
          <w:iCs/>
        </w:rPr>
        <w:t>Break</w:t>
      </w:r>
    </w:p>
    <w:p w14:paraId="219A95E8" w14:textId="77777777" w:rsidR="002D41A9" w:rsidRPr="007D2FC0" w:rsidRDefault="002D41A9" w:rsidP="002D41A9">
      <w:pPr>
        <w:pBdr>
          <w:bottom w:val="single" w:sz="6" w:space="1" w:color="auto"/>
        </w:pBdr>
        <w:rPr>
          <w:rFonts w:ascii="Garamond" w:hAnsi="Garamond"/>
        </w:rPr>
      </w:pPr>
    </w:p>
    <w:p w14:paraId="42759DED" w14:textId="77777777" w:rsidR="002D41A9" w:rsidRPr="007D2FC0" w:rsidRDefault="002D41A9" w:rsidP="002D41A9">
      <w:pPr>
        <w:rPr>
          <w:rFonts w:ascii="Garamond" w:hAnsi="Garamond"/>
        </w:rPr>
      </w:pPr>
    </w:p>
    <w:p w14:paraId="1E832F42" w14:textId="0B871718" w:rsidR="009C4DE4" w:rsidRPr="008D252E" w:rsidRDefault="00D837E2" w:rsidP="002D41A9">
      <w:pPr>
        <w:rPr>
          <w:rFonts w:ascii="Garamond" w:hAnsi="Garamond"/>
          <w:i/>
        </w:rPr>
      </w:pPr>
      <w:r w:rsidRPr="008D252E">
        <w:rPr>
          <w:rFonts w:ascii="Garamond" w:hAnsi="Garamond"/>
          <w:i/>
        </w:rPr>
        <w:t>2</w:t>
      </w:r>
      <w:r w:rsidR="007F213A">
        <w:rPr>
          <w:rFonts w:ascii="Garamond" w:hAnsi="Garamond"/>
          <w:i/>
        </w:rPr>
        <w:t>:30</w:t>
      </w:r>
      <w:r w:rsidR="002D41A9" w:rsidRPr="008D252E">
        <w:rPr>
          <w:rFonts w:ascii="Garamond" w:hAnsi="Garamond"/>
          <w:i/>
        </w:rPr>
        <w:t xml:space="preserve"> PM –</w:t>
      </w:r>
      <w:r w:rsidR="008D252E">
        <w:rPr>
          <w:rFonts w:ascii="Garamond" w:hAnsi="Garamond"/>
          <w:i/>
        </w:rPr>
        <w:t xml:space="preserve"> </w:t>
      </w:r>
      <w:r w:rsidR="007F213A">
        <w:rPr>
          <w:rFonts w:ascii="Garamond" w:hAnsi="Garamond"/>
          <w:i/>
        </w:rPr>
        <w:t>3:45</w:t>
      </w:r>
      <w:r w:rsidR="002D41A9" w:rsidRPr="008D252E">
        <w:rPr>
          <w:rFonts w:ascii="Garamond" w:hAnsi="Garamond"/>
          <w:i/>
        </w:rPr>
        <w:t xml:space="preserve"> PM</w:t>
      </w:r>
      <w:r w:rsidR="00610D83" w:rsidRPr="008D252E">
        <w:rPr>
          <w:rFonts w:ascii="Garamond" w:hAnsi="Garamond"/>
          <w:i/>
        </w:rPr>
        <w:t xml:space="preserve"> </w:t>
      </w:r>
    </w:p>
    <w:p w14:paraId="51A941A6" w14:textId="10BE607D" w:rsidR="002D41A9" w:rsidRPr="00610D83" w:rsidRDefault="001C4EF5" w:rsidP="002D41A9">
      <w:pPr>
        <w:rPr>
          <w:rFonts w:ascii="Garamond" w:hAnsi="Garamond"/>
        </w:rPr>
      </w:pPr>
      <w:r>
        <w:rPr>
          <w:rFonts w:ascii="Garamond" w:hAnsi="Garamond"/>
          <w:b/>
        </w:rPr>
        <w:t xml:space="preserve">Panel IV: </w:t>
      </w:r>
      <w:r w:rsidR="002D78F2">
        <w:rPr>
          <w:rFonts w:ascii="Garamond" w:hAnsi="Garamond"/>
          <w:b/>
        </w:rPr>
        <w:t>Discrimination Th</w:t>
      </w:r>
      <w:r w:rsidR="00283B81">
        <w:rPr>
          <w:rFonts w:ascii="Garamond" w:hAnsi="Garamond"/>
          <w:b/>
        </w:rPr>
        <w:t>r</w:t>
      </w:r>
      <w:r w:rsidR="002D78F2">
        <w:rPr>
          <w:rFonts w:ascii="Garamond" w:hAnsi="Garamond"/>
          <w:b/>
        </w:rPr>
        <w:t>ough Non-Discrimination</w:t>
      </w:r>
    </w:p>
    <w:p w14:paraId="65486561" w14:textId="77777777" w:rsidR="002D41A9" w:rsidRPr="007D2FC0" w:rsidRDefault="002D41A9" w:rsidP="002D41A9">
      <w:pPr>
        <w:rPr>
          <w:rFonts w:ascii="Garamond" w:hAnsi="Garamond"/>
          <w:i/>
        </w:rPr>
      </w:pPr>
    </w:p>
    <w:p w14:paraId="25661F8B" w14:textId="3631F32F" w:rsidR="002D41A9" w:rsidRPr="007D2FC0" w:rsidRDefault="001C4EF5" w:rsidP="002D41A9">
      <w:pPr>
        <w:rPr>
          <w:rFonts w:ascii="Garamond" w:hAnsi="Garamond"/>
          <w:iCs/>
        </w:rPr>
      </w:pPr>
      <w:r>
        <w:rPr>
          <w:rFonts w:ascii="Garamond" w:hAnsi="Garamond"/>
          <w:iCs/>
        </w:rPr>
        <w:t>Description</w:t>
      </w:r>
    </w:p>
    <w:p w14:paraId="59D4E126" w14:textId="49DC631B" w:rsidR="002D41A9" w:rsidRDefault="002D78F2" w:rsidP="002D41A9">
      <w:pPr>
        <w:rPr>
          <w:rFonts w:ascii="Garamond" w:hAnsi="Garamond"/>
          <w:iCs/>
        </w:rPr>
      </w:pPr>
      <w:r>
        <w:rPr>
          <w:rFonts w:ascii="Garamond" w:hAnsi="Garamond"/>
          <w:iCs/>
        </w:rPr>
        <w:t xml:space="preserve">By declining to </w:t>
      </w:r>
      <w:r w:rsidR="00C91E4F">
        <w:rPr>
          <w:rFonts w:ascii="Garamond" w:hAnsi="Garamond"/>
          <w:iCs/>
        </w:rPr>
        <w:t xml:space="preserve">collect </w:t>
      </w:r>
      <w:r>
        <w:rPr>
          <w:rFonts w:ascii="Garamond" w:hAnsi="Garamond"/>
          <w:iCs/>
        </w:rPr>
        <w:t xml:space="preserve">data based on race, the Internal Revenue Service props up the myth that the tax laws are neutral in application. After all, </w:t>
      </w:r>
      <w:r w:rsidR="000E5DB7">
        <w:rPr>
          <w:rFonts w:ascii="Garamond" w:hAnsi="Garamond"/>
          <w:iCs/>
        </w:rPr>
        <w:t xml:space="preserve">in the absence of official </w:t>
      </w:r>
      <w:r>
        <w:rPr>
          <w:rFonts w:ascii="Garamond" w:hAnsi="Garamond"/>
          <w:iCs/>
        </w:rPr>
        <w:t>data about the race</w:t>
      </w:r>
      <w:r w:rsidR="000E5DB7">
        <w:rPr>
          <w:rFonts w:ascii="Garamond" w:hAnsi="Garamond"/>
          <w:iCs/>
        </w:rPr>
        <w:t xml:space="preserve">, critics easily dismiss the work of scholars who develop that information through the triangulation of other sources. What is at stake in the IRS’s failure to gather race-based data? How might we understand small businesses, </w:t>
      </w:r>
      <w:r w:rsidR="00F56F14">
        <w:rPr>
          <w:rFonts w:ascii="Garamond" w:hAnsi="Garamond"/>
          <w:iCs/>
        </w:rPr>
        <w:t>taxpayers of all income levels</w:t>
      </w:r>
      <w:r w:rsidR="000E5DB7">
        <w:rPr>
          <w:rFonts w:ascii="Garamond" w:hAnsi="Garamond"/>
          <w:iCs/>
        </w:rPr>
        <w:t>, or even the IRS itself differently, i</w:t>
      </w:r>
      <w:r w:rsidR="003E6225">
        <w:rPr>
          <w:rFonts w:ascii="Garamond" w:hAnsi="Garamond"/>
          <w:iCs/>
        </w:rPr>
        <w:t xml:space="preserve">n light of uncontested race-based data? Are the insights that can be gained from race-based tax data outweighed by potential “losses” to public confidence in the government generally or the tax system in particular? </w:t>
      </w:r>
      <w:r w:rsidR="000E5DB7">
        <w:rPr>
          <w:rFonts w:ascii="Garamond" w:hAnsi="Garamond"/>
          <w:iCs/>
        </w:rPr>
        <w:t xml:space="preserve"> </w:t>
      </w:r>
      <w:r w:rsidR="00F56F14">
        <w:rPr>
          <w:rFonts w:ascii="Garamond" w:hAnsi="Garamond"/>
          <w:iCs/>
        </w:rPr>
        <w:t xml:space="preserve">Who benefits and who is disadvantaged in the absence of a robust analysis of the intersection of race and taxation? What are the roadblocks to changes in the status quo? </w:t>
      </w:r>
    </w:p>
    <w:p w14:paraId="75F546F6" w14:textId="77777777" w:rsidR="002D78F2" w:rsidRPr="007D2FC0" w:rsidRDefault="002D78F2" w:rsidP="002D41A9">
      <w:pPr>
        <w:rPr>
          <w:rFonts w:ascii="Garamond" w:hAnsi="Garamond"/>
          <w:iCs/>
        </w:rPr>
      </w:pPr>
    </w:p>
    <w:p w14:paraId="56CE5DD9" w14:textId="64ED9ED0" w:rsidR="002D41A9" w:rsidRPr="009260EA" w:rsidRDefault="002D41A9" w:rsidP="002D41A9">
      <w:pPr>
        <w:rPr>
          <w:rFonts w:ascii="Garamond" w:hAnsi="Garamond"/>
          <w:bCs/>
          <w:i/>
          <w:iCs/>
        </w:rPr>
      </w:pPr>
      <w:r w:rsidRPr="00EB5F2C">
        <w:rPr>
          <w:rFonts w:ascii="Garamond" w:hAnsi="Garamond"/>
          <w:bCs/>
          <w:i/>
          <w:iCs/>
        </w:rPr>
        <w:t xml:space="preserve">Moderator: </w:t>
      </w:r>
      <w:r w:rsidR="00AE064B">
        <w:rPr>
          <w:rFonts w:ascii="Garamond" w:hAnsi="Garamond"/>
          <w:b/>
          <w:bCs/>
        </w:rPr>
        <w:t>Phillip Hackney,</w:t>
      </w:r>
      <w:r w:rsidR="00AE064B">
        <w:rPr>
          <w:rFonts w:ascii="Garamond" w:hAnsi="Garamond"/>
          <w:bCs/>
        </w:rPr>
        <w:t xml:space="preserve"> Associate </w:t>
      </w:r>
      <w:r w:rsidR="00AE064B" w:rsidRPr="001D2EC9">
        <w:rPr>
          <w:rFonts w:ascii="Garamond" w:eastAsia="Calibri" w:hAnsi="Garamond" w:cs="Calibri"/>
        </w:rPr>
        <w:t>Professor of Law</w:t>
      </w:r>
      <w:r w:rsidR="00AE064B">
        <w:rPr>
          <w:rFonts w:ascii="Garamond" w:eastAsia="Calibri" w:hAnsi="Garamond" w:cs="Calibri"/>
        </w:rPr>
        <w:t>, University of Pittsburgh School of Law</w:t>
      </w:r>
      <w:r w:rsidR="00AE064B">
        <w:rPr>
          <w:rFonts w:ascii="Garamond" w:hAnsi="Garamond"/>
          <w:bCs/>
          <w:i/>
          <w:iCs/>
        </w:rPr>
        <w:t xml:space="preserve"> </w:t>
      </w:r>
    </w:p>
    <w:p w14:paraId="45F32F04" w14:textId="77777777" w:rsidR="002D41A9" w:rsidRPr="007D2FC0" w:rsidRDefault="002D41A9" w:rsidP="002D41A9">
      <w:pPr>
        <w:rPr>
          <w:rFonts w:ascii="Garamond" w:hAnsi="Garamond"/>
          <w:bCs/>
          <w:i/>
          <w:iCs/>
        </w:rPr>
      </w:pPr>
    </w:p>
    <w:p w14:paraId="1D5F767C" w14:textId="03F5BC86" w:rsidR="002D41A9" w:rsidRDefault="002D41A9" w:rsidP="002D41A9">
      <w:pPr>
        <w:rPr>
          <w:rFonts w:ascii="Garamond" w:hAnsi="Garamond"/>
          <w:bCs/>
          <w:i/>
          <w:iCs/>
        </w:rPr>
      </w:pPr>
      <w:r w:rsidRPr="00A21070">
        <w:rPr>
          <w:rFonts w:ascii="Garamond" w:hAnsi="Garamond"/>
          <w:bCs/>
          <w:i/>
          <w:iCs/>
        </w:rPr>
        <w:t>Presenters:</w:t>
      </w:r>
    </w:p>
    <w:p w14:paraId="24BEC707" w14:textId="22518D1F" w:rsidR="00510480" w:rsidRPr="00510480" w:rsidRDefault="001C4EF5" w:rsidP="00510480">
      <w:pPr>
        <w:ind w:left="720" w:hanging="720"/>
        <w:rPr>
          <w:rFonts w:ascii="Garamond" w:hAnsi="Garamond"/>
          <w:b/>
          <w:bCs/>
          <w:color w:val="000000" w:themeColor="text1"/>
        </w:rPr>
      </w:pPr>
      <w:r>
        <w:rPr>
          <w:rFonts w:ascii="Garamond" w:hAnsi="Garamond"/>
          <w:b/>
          <w:bCs/>
          <w:color w:val="000000" w:themeColor="text1"/>
        </w:rPr>
        <w:t xml:space="preserve">Leslie </w:t>
      </w:r>
      <w:r w:rsidR="00510480">
        <w:rPr>
          <w:rFonts w:ascii="Garamond" w:hAnsi="Garamond"/>
          <w:b/>
          <w:bCs/>
          <w:color w:val="000000" w:themeColor="text1"/>
        </w:rPr>
        <w:t xml:space="preserve">M. </w:t>
      </w:r>
      <w:r>
        <w:rPr>
          <w:rFonts w:ascii="Garamond" w:hAnsi="Garamond"/>
          <w:b/>
          <w:bCs/>
          <w:color w:val="000000" w:themeColor="text1"/>
        </w:rPr>
        <w:t>Book</w:t>
      </w:r>
      <w:r w:rsidRPr="00510480">
        <w:rPr>
          <w:rFonts w:ascii="Garamond" w:hAnsi="Garamond"/>
          <w:color w:val="000000" w:themeColor="text1"/>
        </w:rPr>
        <w:t xml:space="preserve">, </w:t>
      </w:r>
      <w:r w:rsidR="00C91E4F">
        <w:rPr>
          <w:rFonts w:ascii="Garamond" w:hAnsi="Garamond"/>
          <w:color w:val="000000" w:themeColor="text1"/>
        </w:rPr>
        <w:t xml:space="preserve">Professor of Law, </w:t>
      </w:r>
      <w:r w:rsidRPr="00510480">
        <w:rPr>
          <w:rFonts w:ascii="Garamond" w:hAnsi="Garamond"/>
          <w:color w:val="000000" w:themeColor="text1"/>
        </w:rPr>
        <w:t xml:space="preserve">Villanova </w:t>
      </w:r>
      <w:r w:rsidR="00510480" w:rsidRPr="00510480">
        <w:rPr>
          <w:rFonts w:ascii="Garamond" w:hAnsi="Garamond"/>
          <w:color w:val="000000" w:themeColor="text1"/>
        </w:rPr>
        <w:t xml:space="preserve">University Charles </w:t>
      </w:r>
      <w:proofErr w:type="spellStart"/>
      <w:r w:rsidR="00510480" w:rsidRPr="00510480">
        <w:rPr>
          <w:rFonts w:ascii="Garamond" w:hAnsi="Garamond"/>
          <w:color w:val="000000" w:themeColor="text1"/>
        </w:rPr>
        <w:t>Widger</w:t>
      </w:r>
      <w:proofErr w:type="spellEnd"/>
      <w:r w:rsidR="00510480" w:rsidRPr="00510480">
        <w:rPr>
          <w:rFonts w:ascii="Garamond" w:hAnsi="Garamond"/>
          <w:color w:val="000000" w:themeColor="text1"/>
        </w:rPr>
        <w:t xml:space="preserve"> School of </w:t>
      </w:r>
      <w:r w:rsidRPr="00510480">
        <w:rPr>
          <w:rFonts w:ascii="Garamond" w:hAnsi="Garamond"/>
          <w:color w:val="000000" w:themeColor="text1"/>
        </w:rPr>
        <w:t xml:space="preserve">Law, </w:t>
      </w:r>
      <w:r w:rsidR="00510480" w:rsidRPr="00510480">
        <w:rPr>
          <w:rFonts w:ascii="Garamond" w:hAnsi="Garamond"/>
          <w:i/>
          <w:iCs/>
          <w:color w:val="000000" w:themeColor="text1"/>
        </w:rPr>
        <w:t>How the IRS Failure To Embrace Its Role As A Social Benefits Agency Exacerbates Racial Injustice</w:t>
      </w:r>
    </w:p>
    <w:p w14:paraId="57AA809D" w14:textId="26D2E3FE" w:rsidR="00351ED3" w:rsidRDefault="001C4EF5" w:rsidP="006C665B">
      <w:pPr>
        <w:ind w:left="720" w:hanging="720"/>
        <w:rPr>
          <w:rFonts w:ascii="Garamond" w:hAnsi="Garamond"/>
          <w:i/>
        </w:rPr>
      </w:pPr>
      <w:r>
        <w:rPr>
          <w:rFonts w:ascii="Garamond" w:hAnsi="Garamond"/>
          <w:b/>
          <w:bCs/>
          <w:color w:val="000000" w:themeColor="text1"/>
        </w:rPr>
        <w:t xml:space="preserve">Emily Satterthwaite, </w:t>
      </w:r>
      <w:r w:rsidRPr="007D2FC0">
        <w:rPr>
          <w:rFonts w:ascii="Garamond" w:hAnsi="Garamond"/>
        </w:rPr>
        <w:t xml:space="preserve">Professor of Law, </w:t>
      </w:r>
      <w:r>
        <w:rPr>
          <w:rFonts w:ascii="Garamond" w:hAnsi="Garamond"/>
        </w:rPr>
        <w:t xml:space="preserve">Georgetown University Law Center, </w:t>
      </w:r>
      <w:r w:rsidR="00A96B3E" w:rsidRPr="00A96B3E">
        <w:rPr>
          <w:rFonts w:ascii="Garamond" w:hAnsi="Garamond"/>
          <w:i/>
        </w:rPr>
        <w:t>Prior Work and Future Directions on Choice of Entity and Race</w:t>
      </w:r>
    </w:p>
    <w:p w14:paraId="51E288B6" w14:textId="58F176EA" w:rsidR="00BD2039" w:rsidRPr="00713890" w:rsidRDefault="00856076" w:rsidP="00A66314">
      <w:pPr>
        <w:ind w:left="720" w:hanging="720"/>
        <w:rPr>
          <w:rFonts w:ascii="Garamond" w:hAnsi="Garamond"/>
        </w:rPr>
      </w:pPr>
      <w:proofErr w:type="spellStart"/>
      <w:r w:rsidRPr="00856076">
        <w:rPr>
          <w:rFonts w:ascii="Garamond" w:hAnsi="Garamond"/>
          <w:b/>
        </w:rPr>
        <w:t>Goldburn</w:t>
      </w:r>
      <w:proofErr w:type="spellEnd"/>
      <w:r w:rsidRPr="00856076">
        <w:rPr>
          <w:rFonts w:ascii="Garamond" w:hAnsi="Garamond"/>
          <w:b/>
        </w:rPr>
        <w:t> P. Maynard Jr.</w:t>
      </w:r>
      <w:r>
        <w:rPr>
          <w:rFonts w:ascii="Garamond" w:hAnsi="Garamond"/>
          <w:b/>
        </w:rPr>
        <w:t xml:space="preserve">, </w:t>
      </w:r>
      <w:r w:rsidRPr="00856076">
        <w:rPr>
          <w:rFonts w:ascii="Garamond" w:hAnsi="Garamond"/>
        </w:rPr>
        <w:t>Assistant Professor</w:t>
      </w:r>
      <w:r w:rsidR="00F13E4F">
        <w:rPr>
          <w:rFonts w:ascii="Garamond" w:hAnsi="Garamond"/>
        </w:rPr>
        <w:t>,</w:t>
      </w:r>
      <w:r w:rsidRPr="00856076">
        <w:rPr>
          <w:rFonts w:ascii="Garamond" w:hAnsi="Garamond"/>
        </w:rPr>
        <w:t> Department of Business Law &amp; Ethics</w:t>
      </w:r>
      <w:r w:rsidRPr="00856076">
        <w:rPr>
          <w:rFonts w:ascii="Garamond" w:hAnsi="Garamond"/>
        </w:rPr>
        <w:br/>
        <w:t>Indiana University, Kelley School of Business</w:t>
      </w:r>
      <w:r>
        <w:rPr>
          <w:rFonts w:ascii="Garamond" w:hAnsi="Garamond"/>
        </w:rPr>
        <w:t xml:space="preserve">, </w:t>
      </w:r>
      <w:r w:rsidR="00713890" w:rsidRPr="00713890">
        <w:rPr>
          <w:rFonts w:ascii="Garamond" w:hAnsi="Garamond"/>
          <w:i/>
        </w:rPr>
        <w:t>Oligarchy &amp; Taxation</w:t>
      </w:r>
      <w:r w:rsidR="00713890" w:rsidRPr="006365DA">
        <w:rPr>
          <w:rFonts w:ascii="Garamond" w:hAnsi="Garamond"/>
          <w:i/>
        </w:rPr>
        <w:t xml:space="preserve"> </w:t>
      </w:r>
      <w:r w:rsidR="00713890" w:rsidRPr="006365DA">
        <w:rPr>
          <w:rFonts w:ascii="Garamond" w:hAnsi="Garamond"/>
        </w:rPr>
        <w:t>(</w:t>
      </w:r>
      <w:r w:rsidR="00713890" w:rsidRPr="006C665B">
        <w:rPr>
          <w:rFonts w:ascii="Garamond" w:hAnsi="Garamond"/>
        </w:rPr>
        <w:t>with David Gamage, Professor of Law and Whistler Faculty Fellow, Indiana Bloomington Maurer School of Law)</w:t>
      </w:r>
    </w:p>
    <w:p w14:paraId="77321E6E" w14:textId="669BE195" w:rsidR="001C4EF5" w:rsidRPr="00856076" w:rsidRDefault="001C4EF5" w:rsidP="002857A0">
      <w:pPr>
        <w:rPr>
          <w:rFonts w:ascii="Garamond" w:hAnsi="Garamond"/>
          <w:iCs/>
          <w:color w:val="000000" w:themeColor="text1"/>
        </w:rPr>
      </w:pPr>
    </w:p>
    <w:p w14:paraId="17A8719A" w14:textId="77777777" w:rsidR="002D41A9" w:rsidRPr="007D2FC0" w:rsidRDefault="002D41A9" w:rsidP="002D41A9">
      <w:pPr>
        <w:pBdr>
          <w:bottom w:val="single" w:sz="6" w:space="1" w:color="auto"/>
        </w:pBdr>
        <w:rPr>
          <w:rFonts w:ascii="Garamond" w:hAnsi="Garamond"/>
          <w:color w:val="000000" w:themeColor="text1"/>
        </w:rPr>
      </w:pPr>
    </w:p>
    <w:p w14:paraId="341AEE7F" w14:textId="77777777" w:rsidR="002D41A9" w:rsidRPr="007D2FC0" w:rsidRDefault="002D41A9" w:rsidP="002D41A9">
      <w:pPr>
        <w:rPr>
          <w:rFonts w:ascii="Garamond" w:hAnsi="Garamond"/>
          <w:color w:val="000000" w:themeColor="text1"/>
        </w:rPr>
      </w:pPr>
    </w:p>
    <w:p w14:paraId="7995B1D1" w14:textId="26E436EA" w:rsidR="00FE1E09" w:rsidRPr="008D252E" w:rsidRDefault="007F213A" w:rsidP="007F213A">
      <w:pPr>
        <w:rPr>
          <w:rFonts w:ascii="Garamond" w:hAnsi="Garamond"/>
        </w:rPr>
      </w:pPr>
      <w:r w:rsidRPr="007F213A">
        <w:rPr>
          <w:rFonts w:ascii="Garamond" w:hAnsi="Garamond"/>
          <w:i/>
          <w:color w:val="000000" w:themeColor="text1"/>
        </w:rPr>
        <w:t>3:45</w:t>
      </w:r>
      <w:r w:rsidR="002D41A9" w:rsidRPr="007F213A">
        <w:rPr>
          <w:rFonts w:ascii="Garamond" w:hAnsi="Garamond"/>
          <w:i/>
          <w:color w:val="000000" w:themeColor="text1"/>
        </w:rPr>
        <w:t xml:space="preserve"> PM</w:t>
      </w:r>
      <w:r w:rsidR="00D03536" w:rsidRPr="007F213A">
        <w:rPr>
          <w:rFonts w:ascii="Garamond" w:hAnsi="Garamond"/>
          <w:i/>
          <w:color w:val="000000" w:themeColor="text1"/>
        </w:rPr>
        <w:t>:</w:t>
      </w:r>
      <w:r w:rsidR="00EA62B0">
        <w:rPr>
          <w:rFonts w:ascii="Garamond" w:hAnsi="Garamond"/>
          <w:color w:val="000000" w:themeColor="text1"/>
        </w:rPr>
        <w:t xml:space="preserve"> </w:t>
      </w:r>
      <w:r w:rsidR="00EA62B0">
        <w:rPr>
          <w:rFonts w:ascii="Garamond" w:hAnsi="Garamond"/>
          <w:b/>
          <w:color w:val="000000" w:themeColor="text1"/>
        </w:rPr>
        <w:t xml:space="preserve">Program Concludes </w:t>
      </w:r>
      <w:r w:rsidR="008D252E">
        <w:rPr>
          <w:rFonts w:ascii="Garamond" w:hAnsi="Garamond"/>
          <w:b/>
          <w:color w:val="000000" w:themeColor="text1"/>
        </w:rPr>
        <w:t>– Thank you to our sponsors, speakers, and participants</w:t>
      </w:r>
    </w:p>
    <w:p w14:paraId="4A4A210E" w14:textId="77777777" w:rsidR="00510480" w:rsidRPr="00510480" w:rsidRDefault="00510480" w:rsidP="00510480">
      <w:pPr>
        <w:pBdr>
          <w:bottom w:val="single" w:sz="6" w:space="1" w:color="auto"/>
        </w:pBdr>
        <w:rPr>
          <w:rFonts w:ascii="Garamond" w:hAnsi="Garamond"/>
          <w:b/>
        </w:rPr>
      </w:pPr>
    </w:p>
    <w:p w14:paraId="66CD72A7" w14:textId="77777777" w:rsidR="00BA7854" w:rsidRDefault="00BA7854" w:rsidP="00BA78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bCs/>
          <w:sz w:val="36"/>
          <w:szCs w:val="36"/>
        </w:rPr>
      </w:pPr>
    </w:p>
    <w:p w14:paraId="206CCA66" w14:textId="0E404287" w:rsidR="00BA7854" w:rsidRDefault="00EA62B0" w:rsidP="00BA78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bCs/>
          <w:sz w:val="36"/>
          <w:szCs w:val="36"/>
        </w:rPr>
      </w:pPr>
      <w:r>
        <w:rPr>
          <w:rFonts w:ascii="Garamond" w:hAnsi="Garamond"/>
          <w:b/>
          <w:bCs/>
          <w:sz w:val="36"/>
          <w:szCs w:val="36"/>
        </w:rPr>
        <w:t xml:space="preserve">Symposium </w:t>
      </w:r>
      <w:r w:rsidR="00BA7854">
        <w:rPr>
          <w:rFonts w:ascii="Garamond" w:hAnsi="Garamond"/>
          <w:b/>
          <w:bCs/>
          <w:sz w:val="36"/>
          <w:szCs w:val="36"/>
        </w:rPr>
        <w:t>Sponsors</w:t>
      </w:r>
    </w:p>
    <w:p w14:paraId="19B60845" w14:textId="7767F370" w:rsidR="00BA7854" w:rsidRDefault="00BA7854" w:rsidP="00BA78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bCs/>
        </w:rPr>
      </w:pPr>
    </w:p>
    <w:p w14:paraId="53D2D43C" w14:textId="000C1854" w:rsidR="00BA7854" w:rsidRDefault="00BA7854" w:rsidP="00BA78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rPr>
      </w:pPr>
      <w:r>
        <w:rPr>
          <w:rFonts w:ascii="Garamond" w:hAnsi="Garamond"/>
        </w:rPr>
        <w:t>Support for this program is provided by</w:t>
      </w:r>
      <w:r w:rsidR="00B40FE7">
        <w:rPr>
          <w:rFonts w:ascii="Garamond" w:hAnsi="Garamond"/>
        </w:rPr>
        <w:t>:</w:t>
      </w:r>
      <w:r>
        <w:rPr>
          <w:rFonts w:ascii="Garamond" w:hAnsi="Garamond"/>
        </w:rPr>
        <w:t xml:space="preserve"> </w:t>
      </w:r>
    </w:p>
    <w:p w14:paraId="53ABC6A5" w14:textId="7FF080BA" w:rsidR="00BA7854" w:rsidRDefault="00BA7854" w:rsidP="00BA78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rPr>
      </w:pPr>
    </w:p>
    <w:p w14:paraId="00967F26" w14:textId="4A00E681" w:rsidR="00B40FE7" w:rsidRPr="00B40FE7" w:rsidRDefault="00000000" w:rsidP="00B40F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sz w:val="32"/>
          <w:szCs w:val="32"/>
        </w:rPr>
      </w:pPr>
      <w:hyperlink r:id="rId6" w:history="1">
        <w:r w:rsidR="00BA7854" w:rsidRPr="00B40FE7">
          <w:rPr>
            <w:rStyle w:val="Hyperlink"/>
            <w:rFonts w:ascii="Garamond" w:hAnsi="Garamond"/>
            <w:sz w:val="32"/>
            <w:szCs w:val="32"/>
          </w:rPr>
          <w:t>American Tax Policy Institute</w:t>
        </w:r>
      </w:hyperlink>
      <w:r w:rsidR="00B40FE7">
        <w:rPr>
          <w:rFonts w:ascii="Garamond" w:hAnsi="Garamond"/>
        </w:rPr>
        <w:t xml:space="preserve"> </w:t>
      </w:r>
    </w:p>
    <w:p w14:paraId="0215BB71" w14:textId="77777777" w:rsidR="00BF29A9" w:rsidRDefault="00BF29A9" w:rsidP="00B40F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rPr>
      </w:pPr>
    </w:p>
    <w:p w14:paraId="1071922B" w14:textId="0381514E" w:rsidR="00B40FE7" w:rsidRDefault="00B40FE7" w:rsidP="00B40F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aramond" w:hAnsi="Garamond"/>
        </w:rPr>
      </w:pPr>
      <w:r>
        <w:rPr>
          <w:rFonts w:ascii="Garamond" w:hAnsi="Garamond"/>
        </w:rPr>
        <w:t xml:space="preserve">together with the </w:t>
      </w:r>
      <w:hyperlink r:id="rId7" w:history="1">
        <w:r w:rsidR="00BA7854" w:rsidRPr="00BA7854">
          <w:rPr>
            <w:rStyle w:val="Hyperlink"/>
            <w:rFonts w:ascii="Garamond" w:hAnsi="Garamond"/>
          </w:rPr>
          <w:t xml:space="preserve">American </w:t>
        </w:r>
        <w:r w:rsidR="00586E1E">
          <w:rPr>
            <w:rStyle w:val="Hyperlink"/>
            <w:rFonts w:ascii="Garamond" w:hAnsi="Garamond"/>
          </w:rPr>
          <w:t xml:space="preserve">College of Tax Counsel, the American </w:t>
        </w:r>
        <w:r w:rsidR="00BA7854" w:rsidRPr="00BA7854">
          <w:rPr>
            <w:rStyle w:val="Hyperlink"/>
            <w:rFonts w:ascii="Garamond" w:hAnsi="Garamond"/>
          </w:rPr>
          <w:t xml:space="preserve">Bar </w:t>
        </w:r>
      </w:hyperlink>
      <w:r w:rsidR="00A63260">
        <w:rPr>
          <w:rStyle w:val="Hyperlink"/>
          <w:rFonts w:ascii="Garamond" w:hAnsi="Garamond"/>
        </w:rPr>
        <w:t>Association Section of Taxation</w:t>
      </w:r>
      <w:r>
        <w:rPr>
          <w:rFonts w:ascii="Garamond" w:hAnsi="Garamond"/>
        </w:rPr>
        <w:t xml:space="preserve">, </w:t>
      </w:r>
      <w:r w:rsidR="00BD2039">
        <w:rPr>
          <w:rFonts w:ascii="Garamond" w:hAnsi="Garamond"/>
        </w:rPr>
        <w:t xml:space="preserve">Skadden Arps Slate Meagher and </w:t>
      </w:r>
      <w:proofErr w:type="spellStart"/>
      <w:r w:rsidR="00BD2039">
        <w:rPr>
          <w:rFonts w:ascii="Garamond" w:hAnsi="Garamond"/>
        </w:rPr>
        <w:t>Flom</w:t>
      </w:r>
      <w:proofErr w:type="spellEnd"/>
      <w:r w:rsidR="006365DA">
        <w:rPr>
          <w:rFonts w:ascii="Garamond" w:hAnsi="Garamond"/>
        </w:rPr>
        <w:t xml:space="preserve"> LLP,</w:t>
      </w:r>
      <w:r w:rsidR="00BD2039">
        <w:rPr>
          <w:rFonts w:ascii="Garamond" w:hAnsi="Garamond"/>
        </w:rPr>
        <w:t xml:space="preserve"> </w:t>
      </w:r>
      <w:r w:rsidR="00586E1E">
        <w:rPr>
          <w:rFonts w:ascii="Garamond" w:hAnsi="Garamond"/>
        </w:rPr>
        <w:t xml:space="preserve">the </w:t>
      </w:r>
      <w:hyperlink r:id="rId8" w:history="1">
        <w:r w:rsidRPr="00BA7854">
          <w:rPr>
            <w:rStyle w:val="Hyperlink"/>
            <w:rFonts w:ascii="Garamond" w:hAnsi="Garamond"/>
          </w:rPr>
          <w:t>Elisabeth Haub School of Law at Pace University</w:t>
        </w:r>
      </w:hyperlink>
      <w:r>
        <w:rPr>
          <w:rFonts w:ascii="Garamond" w:hAnsi="Garamond"/>
        </w:rPr>
        <w:t xml:space="preserve">, </w:t>
      </w:r>
      <w:r w:rsidR="008D252E">
        <w:rPr>
          <w:rFonts w:ascii="Garamond" w:hAnsi="Garamond"/>
        </w:rPr>
        <w:t xml:space="preserve"> </w:t>
      </w:r>
      <w:hyperlink r:id="rId9" w:history="1">
        <w:r w:rsidRPr="00BA7854">
          <w:rPr>
            <w:rStyle w:val="Hyperlink"/>
            <w:rFonts w:ascii="Garamond" w:hAnsi="Garamond"/>
          </w:rPr>
          <w:t>Temple University Beasley School of Law</w:t>
        </w:r>
      </w:hyperlink>
      <w:r w:rsidR="00BD2039">
        <w:rPr>
          <w:rStyle w:val="Hyperlink"/>
          <w:rFonts w:ascii="Garamond" w:hAnsi="Garamond"/>
        </w:rPr>
        <w:t xml:space="preserve"> Center for Tax Law and </w:t>
      </w:r>
      <w:proofErr w:type="spellStart"/>
      <w:r w:rsidR="00BD2039">
        <w:rPr>
          <w:rStyle w:val="Hyperlink"/>
          <w:rFonts w:ascii="Garamond" w:hAnsi="Garamond"/>
        </w:rPr>
        <w:t>Pubic</w:t>
      </w:r>
      <w:proofErr w:type="spellEnd"/>
      <w:r w:rsidR="00BD2039">
        <w:rPr>
          <w:rStyle w:val="Hyperlink"/>
          <w:rFonts w:ascii="Garamond" w:hAnsi="Garamond"/>
        </w:rPr>
        <w:t xml:space="preserve"> Policy</w:t>
      </w:r>
      <w:r w:rsidR="007F213A">
        <w:rPr>
          <w:rStyle w:val="Hyperlink"/>
          <w:rFonts w:ascii="Garamond" w:hAnsi="Garamond"/>
        </w:rPr>
        <w:t>, and the Pittsburg</w:t>
      </w:r>
      <w:r w:rsidR="0036202C">
        <w:rPr>
          <w:rStyle w:val="Hyperlink"/>
          <w:rFonts w:ascii="Garamond" w:hAnsi="Garamond"/>
        </w:rPr>
        <w:t>h</w:t>
      </w:r>
      <w:r w:rsidR="007F213A">
        <w:rPr>
          <w:rStyle w:val="Hyperlink"/>
          <w:rFonts w:ascii="Garamond" w:hAnsi="Garamond"/>
        </w:rPr>
        <w:t xml:space="preserve"> Tax Review</w:t>
      </w:r>
      <w:r w:rsidR="008D252E">
        <w:rPr>
          <w:rFonts w:ascii="Garamond" w:hAnsi="Garamond"/>
        </w:rPr>
        <w:t>.</w:t>
      </w:r>
      <w:r w:rsidR="00FE1E09">
        <w:rPr>
          <w:rFonts w:ascii="Garamond" w:hAnsi="Garamond"/>
        </w:rPr>
        <w:t xml:space="preserve">  </w:t>
      </w:r>
      <w:r>
        <w:rPr>
          <w:rFonts w:ascii="Garamond" w:hAnsi="Garamond"/>
        </w:rPr>
        <w:t xml:space="preserve">Papers from this Symposium will be published in the </w:t>
      </w:r>
      <w:r w:rsidR="0051466F">
        <w:rPr>
          <w:rFonts w:ascii="Garamond" w:hAnsi="Garamond"/>
        </w:rPr>
        <w:t xml:space="preserve">Fall </w:t>
      </w:r>
      <w:r>
        <w:rPr>
          <w:rFonts w:ascii="Garamond" w:hAnsi="Garamond"/>
        </w:rPr>
        <w:t>202</w:t>
      </w:r>
      <w:r w:rsidR="0051466F">
        <w:rPr>
          <w:rFonts w:ascii="Garamond" w:hAnsi="Garamond"/>
        </w:rPr>
        <w:t>3</w:t>
      </w:r>
      <w:r>
        <w:rPr>
          <w:rFonts w:ascii="Garamond" w:hAnsi="Garamond"/>
        </w:rPr>
        <w:t xml:space="preserve"> issue of the Pittsburgh Tax Review.</w:t>
      </w:r>
    </w:p>
    <w:sectPr w:rsidR="00B40FE7" w:rsidSect="00FF30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C2438" w14:textId="77777777" w:rsidR="00D109CD" w:rsidRDefault="00D109CD" w:rsidP="003324C7">
      <w:r>
        <w:separator/>
      </w:r>
    </w:p>
  </w:endnote>
  <w:endnote w:type="continuationSeparator" w:id="0">
    <w:p w14:paraId="14A94969" w14:textId="77777777" w:rsidR="00D109CD" w:rsidRDefault="00D109CD" w:rsidP="0033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3E9CC" w14:textId="77777777" w:rsidR="00D109CD" w:rsidRDefault="00D109CD" w:rsidP="003324C7">
      <w:r>
        <w:separator/>
      </w:r>
    </w:p>
  </w:footnote>
  <w:footnote w:type="continuationSeparator" w:id="0">
    <w:p w14:paraId="645A3767" w14:textId="77777777" w:rsidR="00D109CD" w:rsidRDefault="00D109CD" w:rsidP="003324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1A9"/>
    <w:rsid w:val="00005973"/>
    <w:rsid w:val="00030398"/>
    <w:rsid w:val="00036321"/>
    <w:rsid w:val="00067D06"/>
    <w:rsid w:val="000A75F6"/>
    <w:rsid w:val="000C5C87"/>
    <w:rsid w:val="000E5DB7"/>
    <w:rsid w:val="001247EA"/>
    <w:rsid w:val="0014125D"/>
    <w:rsid w:val="001B2257"/>
    <w:rsid w:val="001B6C22"/>
    <w:rsid w:val="001C4EF5"/>
    <w:rsid w:val="001D107D"/>
    <w:rsid w:val="001D2EC9"/>
    <w:rsid w:val="001E4CC3"/>
    <w:rsid w:val="001F0B5A"/>
    <w:rsid w:val="001F485A"/>
    <w:rsid w:val="00233020"/>
    <w:rsid w:val="00241E95"/>
    <w:rsid w:val="00262AA9"/>
    <w:rsid w:val="00283B81"/>
    <w:rsid w:val="002857A0"/>
    <w:rsid w:val="002A2221"/>
    <w:rsid w:val="002D41A9"/>
    <w:rsid w:val="002D78F2"/>
    <w:rsid w:val="00310B0E"/>
    <w:rsid w:val="00316C41"/>
    <w:rsid w:val="00331942"/>
    <w:rsid w:val="003324C7"/>
    <w:rsid w:val="00351ED3"/>
    <w:rsid w:val="0036202C"/>
    <w:rsid w:val="003D658A"/>
    <w:rsid w:val="003E6225"/>
    <w:rsid w:val="004312D0"/>
    <w:rsid w:val="00477C29"/>
    <w:rsid w:val="004A5056"/>
    <w:rsid w:val="004B210D"/>
    <w:rsid w:val="004C44BD"/>
    <w:rsid w:val="004F4438"/>
    <w:rsid w:val="00510480"/>
    <w:rsid w:val="0051466F"/>
    <w:rsid w:val="00530ECA"/>
    <w:rsid w:val="00534794"/>
    <w:rsid w:val="00547427"/>
    <w:rsid w:val="005576DB"/>
    <w:rsid w:val="00580D22"/>
    <w:rsid w:val="00586E1E"/>
    <w:rsid w:val="005B6992"/>
    <w:rsid w:val="00610D83"/>
    <w:rsid w:val="00613E5C"/>
    <w:rsid w:val="006365DA"/>
    <w:rsid w:val="0064272F"/>
    <w:rsid w:val="00676864"/>
    <w:rsid w:val="006A2E9D"/>
    <w:rsid w:val="006C665B"/>
    <w:rsid w:val="006C7EC9"/>
    <w:rsid w:val="006D16E5"/>
    <w:rsid w:val="00713890"/>
    <w:rsid w:val="00737B2D"/>
    <w:rsid w:val="00770A75"/>
    <w:rsid w:val="00771ABC"/>
    <w:rsid w:val="007724AD"/>
    <w:rsid w:val="00785314"/>
    <w:rsid w:val="007E6D62"/>
    <w:rsid w:val="007F213A"/>
    <w:rsid w:val="00813640"/>
    <w:rsid w:val="00816D9B"/>
    <w:rsid w:val="00834F16"/>
    <w:rsid w:val="00836B81"/>
    <w:rsid w:val="00856076"/>
    <w:rsid w:val="00876666"/>
    <w:rsid w:val="00882FA6"/>
    <w:rsid w:val="00884403"/>
    <w:rsid w:val="008A2C23"/>
    <w:rsid w:val="008B2022"/>
    <w:rsid w:val="008B4261"/>
    <w:rsid w:val="008B6B41"/>
    <w:rsid w:val="008D252E"/>
    <w:rsid w:val="00903286"/>
    <w:rsid w:val="009033F5"/>
    <w:rsid w:val="00905FEC"/>
    <w:rsid w:val="00937B67"/>
    <w:rsid w:val="00954DFC"/>
    <w:rsid w:val="00966B8E"/>
    <w:rsid w:val="009868B5"/>
    <w:rsid w:val="0099284E"/>
    <w:rsid w:val="009C4DE4"/>
    <w:rsid w:val="00A149E1"/>
    <w:rsid w:val="00A35957"/>
    <w:rsid w:val="00A419AC"/>
    <w:rsid w:val="00A63260"/>
    <w:rsid w:val="00A66314"/>
    <w:rsid w:val="00A92614"/>
    <w:rsid w:val="00A96768"/>
    <w:rsid w:val="00A96B3E"/>
    <w:rsid w:val="00AB10F3"/>
    <w:rsid w:val="00AD29E5"/>
    <w:rsid w:val="00AD3237"/>
    <w:rsid w:val="00AD6455"/>
    <w:rsid w:val="00AE064B"/>
    <w:rsid w:val="00AF6A86"/>
    <w:rsid w:val="00B002A6"/>
    <w:rsid w:val="00B218F8"/>
    <w:rsid w:val="00B40FE7"/>
    <w:rsid w:val="00B50617"/>
    <w:rsid w:val="00B67F72"/>
    <w:rsid w:val="00BA7854"/>
    <w:rsid w:val="00BD2039"/>
    <w:rsid w:val="00BD4D29"/>
    <w:rsid w:val="00BF29A9"/>
    <w:rsid w:val="00BF4EDB"/>
    <w:rsid w:val="00C72135"/>
    <w:rsid w:val="00C84B0D"/>
    <w:rsid w:val="00C91E4F"/>
    <w:rsid w:val="00C925B2"/>
    <w:rsid w:val="00CA5314"/>
    <w:rsid w:val="00CC3BF9"/>
    <w:rsid w:val="00D00E1F"/>
    <w:rsid w:val="00D03536"/>
    <w:rsid w:val="00D109CD"/>
    <w:rsid w:val="00D110D0"/>
    <w:rsid w:val="00D33AFA"/>
    <w:rsid w:val="00D837E2"/>
    <w:rsid w:val="00DC5BA3"/>
    <w:rsid w:val="00E21B77"/>
    <w:rsid w:val="00EA0282"/>
    <w:rsid w:val="00EA62B0"/>
    <w:rsid w:val="00EA7035"/>
    <w:rsid w:val="00EB2B96"/>
    <w:rsid w:val="00F00881"/>
    <w:rsid w:val="00F13E4F"/>
    <w:rsid w:val="00F304F5"/>
    <w:rsid w:val="00F30F9E"/>
    <w:rsid w:val="00F56F14"/>
    <w:rsid w:val="00FB125C"/>
    <w:rsid w:val="00FD3D9B"/>
    <w:rsid w:val="00FE1E09"/>
    <w:rsid w:val="00FF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DF146"/>
  <w15:chartTrackingRefBased/>
  <w15:docId w15:val="{85F655F6-A1FE-AA49-9939-A833F662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AA9"/>
    <w:rPr>
      <w:rFonts w:ascii="Times New Roman" w:eastAsia="Times New Roman" w:hAnsi="Times New Roman" w:cs="Times New Roman"/>
    </w:rPr>
  </w:style>
  <w:style w:type="paragraph" w:styleId="Heading1">
    <w:name w:val="heading 1"/>
    <w:basedOn w:val="Normal"/>
    <w:next w:val="Normal"/>
    <w:link w:val="Heading1Char"/>
    <w:uiPriority w:val="9"/>
    <w:qFormat/>
    <w:rsid w:val="00610D8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D41A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CalPress">
    <w:name w:val="U Cal Press"/>
    <w:basedOn w:val="Normal"/>
    <w:autoRedefine/>
    <w:qFormat/>
    <w:rsid w:val="00876666"/>
    <w:pPr>
      <w:widowControl w:val="0"/>
      <w:pBdr>
        <w:top w:val="nil"/>
        <w:left w:val="nil"/>
        <w:bottom w:val="nil"/>
        <w:right w:val="nil"/>
        <w:between w:val="nil"/>
      </w:pBdr>
      <w:spacing w:line="480" w:lineRule="auto"/>
    </w:pPr>
    <w:rPr>
      <w:i/>
      <w:color w:val="000000"/>
    </w:rPr>
  </w:style>
  <w:style w:type="paragraph" w:customStyle="1" w:styleId="UCalPressManuscript">
    <w:name w:val="U Cal Press Manuscript"/>
    <w:basedOn w:val="Normal"/>
    <w:autoRedefine/>
    <w:qFormat/>
    <w:rsid w:val="00876666"/>
    <w:pPr>
      <w:spacing w:line="480" w:lineRule="auto"/>
      <w:ind w:firstLine="720"/>
    </w:pPr>
  </w:style>
  <w:style w:type="paragraph" w:styleId="BalloonText">
    <w:name w:val="Balloon Text"/>
    <w:basedOn w:val="Normal"/>
    <w:link w:val="BalloonTextChar"/>
    <w:uiPriority w:val="99"/>
    <w:semiHidden/>
    <w:unhideWhenUsed/>
    <w:rsid w:val="00530ECA"/>
    <w:rPr>
      <w:rFonts w:eastAsiaTheme="minorHAnsi"/>
      <w:sz w:val="18"/>
      <w:szCs w:val="18"/>
    </w:rPr>
  </w:style>
  <w:style w:type="character" w:customStyle="1" w:styleId="BalloonTextChar">
    <w:name w:val="Balloon Text Char"/>
    <w:basedOn w:val="DefaultParagraphFont"/>
    <w:link w:val="BalloonText"/>
    <w:uiPriority w:val="99"/>
    <w:semiHidden/>
    <w:rsid w:val="00530ECA"/>
    <w:rPr>
      <w:rFonts w:ascii="Times New Roman" w:eastAsiaTheme="minorHAnsi" w:hAnsi="Times New Roman" w:cs="Times New Roman"/>
      <w:sz w:val="18"/>
      <w:szCs w:val="18"/>
    </w:rPr>
  </w:style>
  <w:style w:type="paragraph" w:customStyle="1" w:styleId="Endnote">
    <w:name w:val="Endnote"/>
    <w:basedOn w:val="Normal"/>
    <w:autoRedefine/>
    <w:qFormat/>
    <w:rsid w:val="00882FA6"/>
    <w:pPr>
      <w:spacing w:line="480" w:lineRule="auto"/>
    </w:pPr>
    <w:rPr>
      <w:rFonts w:eastAsiaTheme="minorHAnsi"/>
      <w:vertAlign w:val="superscript"/>
    </w:rPr>
  </w:style>
  <w:style w:type="paragraph" w:styleId="FootnoteText">
    <w:name w:val="footnote text"/>
    <w:basedOn w:val="Normal"/>
    <w:link w:val="FootnoteTextChar"/>
    <w:autoRedefine/>
    <w:uiPriority w:val="99"/>
    <w:semiHidden/>
    <w:unhideWhenUsed/>
    <w:rsid w:val="009868B5"/>
    <w:pPr>
      <w:ind w:left="720" w:hanging="720"/>
      <w:jc w:val="both"/>
    </w:pPr>
    <w:rPr>
      <w:rFonts w:eastAsia="Calibri" w:cs="Calibri"/>
      <w:sz w:val="20"/>
      <w:szCs w:val="20"/>
    </w:rPr>
  </w:style>
  <w:style w:type="character" w:customStyle="1" w:styleId="FootnoteTextChar">
    <w:name w:val="Footnote Text Char"/>
    <w:basedOn w:val="DefaultParagraphFont"/>
    <w:link w:val="FootnoteText"/>
    <w:uiPriority w:val="99"/>
    <w:semiHidden/>
    <w:rsid w:val="009868B5"/>
    <w:rPr>
      <w:rFonts w:ascii="Times New Roman" w:hAnsi="Times New Roman" w:cs="Calibri"/>
      <w:sz w:val="20"/>
      <w:szCs w:val="20"/>
    </w:rPr>
  </w:style>
  <w:style w:type="table" w:styleId="TableGrid">
    <w:name w:val="Table Grid"/>
    <w:basedOn w:val="TableNormal"/>
    <w:uiPriority w:val="59"/>
    <w:rsid w:val="002D4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D41A9"/>
    <w:rPr>
      <w:rFonts w:ascii="Times New Roman" w:eastAsia="Times New Roman" w:hAnsi="Times New Roman" w:cs="Times New Roman"/>
      <w:b/>
      <w:bCs/>
      <w:sz w:val="36"/>
      <w:szCs w:val="36"/>
    </w:rPr>
  </w:style>
  <w:style w:type="paragraph" w:styleId="ListParagraph">
    <w:name w:val="List Paragraph"/>
    <w:basedOn w:val="Normal"/>
    <w:uiPriority w:val="34"/>
    <w:qFormat/>
    <w:rsid w:val="002D41A9"/>
    <w:pPr>
      <w:ind w:left="720"/>
      <w:contextualSpacing/>
    </w:pPr>
    <w:rPr>
      <w:rFonts w:ascii="Calibri" w:eastAsiaTheme="minorHAnsi" w:hAnsi="Calibri"/>
    </w:rPr>
  </w:style>
  <w:style w:type="character" w:styleId="Hyperlink">
    <w:name w:val="Hyperlink"/>
    <w:basedOn w:val="DefaultParagraphFont"/>
    <w:uiPriority w:val="99"/>
    <w:unhideWhenUsed/>
    <w:rsid w:val="002D41A9"/>
    <w:rPr>
      <w:color w:val="0563C1" w:themeColor="hyperlink"/>
      <w:u w:val="single"/>
    </w:rPr>
  </w:style>
  <w:style w:type="character" w:styleId="UnresolvedMention">
    <w:name w:val="Unresolved Mention"/>
    <w:basedOn w:val="DefaultParagraphFont"/>
    <w:uiPriority w:val="99"/>
    <w:semiHidden/>
    <w:unhideWhenUsed/>
    <w:rsid w:val="00BA7854"/>
    <w:rPr>
      <w:color w:val="605E5C"/>
      <w:shd w:val="clear" w:color="auto" w:fill="E1DFDD"/>
    </w:rPr>
  </w:style>
  <w:style w:type="character" w:styleId="FollowedHyperlink">
    <w:name w:val="FollowedHyperlink"/>
    <w:basedOn w:val="DefaultParagraphFont"/>
    <w:uiPriority w:val="99"/>
    <w:semiHidden/>
    <w:unhideWhenUsed/>
    <w:rsid w:val="00B40FE7"/>
    <w:rPr>
      <w:color w:val="954F72" w:themeColor="followedHyperlink"/>
      <w:u w:val="single"/>
    </w:rPr>
  </w:style>
  <w:style w:type="character" w:customStyle="1" w:styleId="markedcontent">
    <w:name w:val="markedcontent"/>
    <w:basedOn w:val="DefaultParagraphFont"/>
    <w:rsid w:val="00B40FE7"/>
  </w:style>
  <w:style w:type="character" w:customStyle="1" w:styleId="Heading1Char">
    <w:name w:val="Heading 1 Char"/>
    <w:basedOn w:val="DefaultParagraphFont"/>
    <w:link w:val="Heading1"/>
    <w:uiPriority w:val="9"/>
    <w:rsid w:val="00610D83"/>
    <w:rPr>
      <w:rFonts w:asciiTheme="majorHAnsi" w:eastAsiaTheme="majorEastAsia" w:hAnsiTheme="majorHAnsi" w:cstheme="majorBidi"/>
      <w:color w:val="2F5496" w:themeColor="accent1" w:themeShade="BF"/>
      <w:sz w:val="32"/>
      <w:szCs w:val="32"/>
    </w:rPr>
  </w:style>
  <w:style w:type="character" w:customStyle="1" w:styleId="searchhighlight">
    <w:name w:val="searchhighlight"/>
    <w:basedOn w:val="DefaultParagraphFont"/>
    <w:rsid w:val="0064272F"/>
  </w:style>
  <w:style w:type="character" w:customStyle="1" w:styleId="css-901oao">
    <w:name w:val="css-901oao"/>
    <w:basedOn w:val="DefaultParagraphFont"/>
    <w:rsid w:val="00316C41"/>
  </w:style>
  <w:style w:type="character" w:styleId="FootnoteReference">
    <w:name w:val="footnote reference"/>
    <w:basedOn w:val="DefaultParagraphFont"/>
    <w:uiPriority w:val="99"/>
    <w:semiHidden/>
    <w:unhideWhenUsed/>
    <w:rsid w:val="003324C7"/>
    <w:rPr>
      <w:vertAlign w:val="superscript"/>
    </w:rPr>
  </w:style>
  <w:style w:type="paragraph" w:styleId="Revision">
    <w:name w:val="Revision"/>
    <w:hidden/>
    <w:uiPriority w:val="99"/>
    <w:semiHidden/>
    <w:rsid w:val="00BF4ED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9317">
      <w:bodyDiv w:val="1"/>
      <w:marLeft w:val="0"/>
      <w:marRight w:val="0"/>
      <w:marTop w:val="0"/>
      <w:marBottom w:val="0"/>
      <w:divBdr>
        <w:top w:val="none" w:sz="0" w:space="0" w:color="auto"/>
        <w:left w:val="none" w:sz="0" w:space="0" w:color="auto"/>
        <w:bottom w:val="none" w:sz="0" w:space="0" w:color="auto"/>
        <w:right w:val="none" w:sz="0" w:space="0" w:color="auto"/>
      </w:divBdr>
    </w:div>
    <w:div w:id="91365970">
      <w:bodyDiv w:val="1"/>
      <w:marLeft w:val="0"/>
      <w:marRight w:val="0"/>
      <w:marTop w:val="0"/>
      <w:marBottom w:val="0"/>
      <w:divBdr>
        <w:top w:val="none" w:sz="0" w:space="0" w:color="auto"/>
        <w:left w:val="none" w:sz="0" w:space="0" w:color="auto"/>
        <w:bottom w:val="none" w:sz="0" w:space="0" w:color="auto"/>
        <w:right w:val="none" w:sz="0" w:space="0" w:color="auto"/>
      </w:divBdr>
    </w:div>
    <w:div w:id="163397817">
      <w:bodyDiv w:val="1"/>
      <w:marLeft w:val="0"/>
      <w:marRight w:val="0"/>
      <w:marTop w:val="0"/>
      <w:marBottom w:val="0"/>
      <w:divBdr>
        <w:top w:val="none" w:sz="0" w:space="0" w:color="auto"/>
        <w:left w:val="none" w:sz="0" w:space="0" w:color="auto"/>
        <w:bottom w:val="none" w:sz="0" w:space="0" w:color="auto"/>
        <w:right w:val="none" w:sz="0" w:space="0" w:color="auto"/>
      </w:divBdr>
    </w:div>
    <w:div w:id="261648702">
      <w:bodyDiv w:val="1"/>
      <w:marLeft w:val="0"/>
      <w:marRight w:val="0"/>
      <w:marTop w:val="0"/>
      <w:marBottom w:val="0"/>
      <w:divBdr>
        <w:top w:val="none" w:sz="0" w:space="0" w:color="auto"/>
        <w:left w:val="none" w:sz="0" w:space="0" w:color="auto"/>
        <w:bottom w:val="none" w:sz="0" w:space="0" w:color="auto"/>
        <w:right w:val="none" w:sz="0" w:space="0" w:color="auto"/>
      </w:divBdr>
    </w:div>
    <w:div w:id="291518121">
      <w:bodyDiv w:val="1"/>
      <w:marLeft w:val="0"/>
      <w:marRight w:val="0"/>
      <w:marTop w:val="0"/>
      <w:marBottom w:val="0"/>
      <w:divBdr>
        <w:top w:val="none" w:sz="0" w:space="0" w:color="auto"/>
        <w:left w:val="none" w:sz="0" w:space="0" w:color="auto"/>
        <w:bottom w:val="none" w:sz="0" w:space="0" w:color="auto"/>
        <w:right w:val="none" w:sz="0" w:space="0" w:color="auto"/>
      </w:divBdr>
    </w:div>
    <w:div w:id="365255789">
      <w:bodyDiv w:val="1"/>
      <w:marLeft w:val="0"/>
      <w:marRight w:val="0"/>
      <w:marTop w:val="0"/>
      <w:marBottom w:val="0"/>
      <w:divBdr>
        <w:top w:val="none" w:sz="0" w:space="0" w:color="auto"/>
        <w:left w:val="none" w:sz="0" w:space="0" w:color="auto"/>
        <w:bottom w:val="none" w:sz="0" w:space="0" w:color="auto"/>
        <w:right w:val="none" w:sz="0" w:space="0" w:color="auto"/>
      </w:divBdr>
    </w:div>
    <w:div w:id="392046096">
      <w:bodyDiv w:val="1"/>
      <w:marLeft w:val="0"/>
      <w:marRight w:val="0"/>
      <w:marTop w:val="0"/>
      <w:marBottom w:val="0"/>
      <w:divBdr>
        <w:top w:val="none" w:sz="0" w:space="0" w:color="auto"/>
        <w:left w:val="none" w:sz="0" w:space="0" w:color="auto"/>
        <w:bottom w:val="none" w:sz="0" w:space="0" w:color="auto"/>
        <w:right w:val="none" w:sz="0" w:space="0" w:color="auto"/>
      </w:divBdr>
    </w:div>
    <w:div w:id="430197850">
      <w:bodyDiv w:val="1"/>
      <w:marLeft w:val="0"/>
      <w:marRight w:val="0"/>
      <w:marTop w:val="0"/>
      <w:marBottom w:val="0"/>
      <w:divBdr>
        <w:top w:val="none" w:sz="0" w:space="0" w:color="auto"/>
        <w:left w:val="none" w:sz="0" w:space="0" w:color="auto"/>
        <w:bottom w:val="none" w:sz="0" w:space="0" w:color="auto"/>
        <w:right w:val="none" w:sz="0" w:space="0" w:color="auto"/>
      </w:divBdr>
    </w:div>
    <w:div w:id="648753187">
      <w:bodyDiv w:val="1"/>
      <w:marLeft w:val="0"/>
      <w:marRight w:val="0"/>
      <w:marTop w:val="0"/>
      <w:marBottom w:val="0"/>
      <w:divBdr>
        <w:top w:val="none" w:sz="0" w:space="0" w:color="auto"/>
        <w:left w:val="none" w:sz="0" w:space="0" w:color="auto"/>
        <w:bottom w:val="none" w:sz="0" w:space="0" w:color="auto"/>
        <w:right w:val="none" w:sz="0" w:space="0" w:color="auto"/>
      </w:divBdr>
    </w:div>
    <w:div w:id="654917764">
      <w:bodyDiv w:val="1"/>
      <w:marLeft w:val="0"/>
      <w:marRight w:val="0"/>
      <w:marTop w:val="0"/>
      <w:marBottom w:val="0"/>
      <w:divBdr>
        <w:top w:val="none" w:sz="0" w:space="0" w:color="auto"/>
        <w:left w:val="none" w:sz="0" w:space="0" w:color="auto"/>
        <w:bottom w:val="none" w:sz="0" w:space="0" w:color="auto"/>
        <w:right w:val="none" w:sz="0" w:space="0" w:color="auto"/>
      </w:divBdr>
    </w:div>
    <w:div w:id="947661108">
      <w:bodyDiv w:val="1"/>
      <w:marLeft w:val="0"/>
      <w:marRight w:val="0"/>
      <w:marTop w:val="0"/>
      <w:marBottom w:val="0"/>
      <w:divBdr>
        <w:top w:val="none" w:sz="0" w:space="0" w:color="auto"/>
        <w:left w:val="none" w:sz="0" w:space="0" w:color="auto"/>
        <w:bottom w:val="none" w:sz="0" w:space="0" w:color="auto"/>
        <w:right w:val="none" w:sz="0" w:space="0" w:color="auto"/>
      </w:divBdr>
    </w:div>
    <w:div w:id="961496936">
      <w:bodyDiv w:val="1"/>
      <w:marLeft w:val="0"/>
      <w:marRight w:val="0"/>
      <w:marTop w:val="0"/>
      <w:marBottom w:val="0"/>
      <w:divBdr>
        <w:top w:val="none" w:sz="0" w:space="0" w:color="auto"/>
        <w:left w:val="none" w:sz="0" w:space="0" w:color="auto"/>
        <w:bottom w:val="none" w:sz="0" w:space="0" w:color="auto"/>
        <w:right w:val="none" w:sz="0" w:space="0" w:color="auto"/>
      </w:divBdr>
    </w:div>
    <w:div w:id="1028682724">
      <w:bodyDiv w:val="1"/>
      <w:marLeft w:val="0"/>
      <w:marRight w:val="0"/>
      <w:marTop w:val="0"/>
      <w:marBottom w:val="0"/>
      <w:divBdr>
        <w:top w:val="none" w:sz="0" w:space="0" w:color="auto"/>
        <w:left w:val="none" w:sz="0" w:space="0" w:color="auto"/>
        <w:bottom w:val="none" w:sz="0" w:space="0" w:color="auto"/>
        <w:right w:val="none" w:sz="0" w:space="0" w:color="auto"/>
      </w:divBdr>
    </w:div>
    <w:div w:id="1135297838">
      <w:bodyDiv w:val="1"/>
      <w:marLeft w:val="0"/>
      <w:marRight w:val="0"/>
      <w:marTop w:val="0"/>
      <w:marBottom w:val="0"/>
      <w:divBdr>
        <w:top w:val="none" w:sz="0" w:space="0" w:color="auto"/>
        <w:left w:val="none" w:sz="0" w:space="0" w:color="auto"/>
        <w:bottom w:val="none" w:sz="0" w:space="0" w:color="auto"/>
        <w:right w:val="none" w:sz="0" w:space="0" w:color="auto"/>
      </w:divBdr>
    </w:div>
    <w:div w:id="1483040275">
      <w:bodyDiv w:val="1"/>
      <w:marLeft w:val="0"/>
      <w:marRight w:val="0"/>
      <w:marTop w:val="0"/>
      <w:marBottom w:val="0"/>
      <w:divBdr>
        <w:top w:val="none" w:sz="0" w:space="0" w:color="auto"/>
        <w:left w:val="none" w:sz="0" w:space="0" w:color="auto"/>
        <w:bottom w:val="none" w:sz="0" w:space="0" w:color="auto"/>
        <w:right w:val="none" w:sz="0" w:space="0" w:color="auto"/>
      </w:divBdr>
    </w:div>
    <w:div w:id="1582177893">
      <w:bodyDiv w:val="1"/>
      <w:marLeft w:val="0"/>
      <w:marRight w:val="0"/>
      <w:marTop w:val="0"/>
      <w:marBottom w:val="0"/>
      <w:divBdr>
        <w:top w:val="none" w:sz="0" w:space="0" w:color="auto"/>
        <w:left w:val="none" w:sz="0" w:space="0" w:color="auto"/>
        <w:bottom w:val="none" w:sz="0" w:space="0" w:color="auto"/>
        <w:right w:val="none" w:sz="0" w:space="0" w:color="auto"/>
      </w:divBdr>
    </w:div>
    <w:div w:id="1587884952">
      <w:bodyDiv w:val="1"/>
      <w:marLeft w:val="0"/>
      <w:marRight w:val="0"/>
      <w:marTop w:val="0"/>
      <w:marBottom w:val="0"/>
      <w:divBdr>
        <w:top w:val="none" w:sz="0" w:space="0" w:color="auto"/>
        <w:left w:val="none" w:sz="0" w:space="0" w:color="auto"/>
        <w:bottom w:val="none" w:sz="0" w:space="0" w:color="auto"/>
        <w:right w:val="none" w:sz="0" w:space="0" w:color="auto"/>
      </w:divBdr>
    </w:div>
    <w:div w:id="1742168121">
      <w:bodyDiv w:val="1"/>
      <w:marLeft w:val="0"/>
      <w:marRight w:val="0"/>
      <w:marTop w:val="0"/>
      <w:marBottom w:val="0"/>
      <w:divBdr>
        <w:top w:val="none" w:sz="0" w:space="0" w:color="auto"/>
        <w:left w:val="none" w:sz="0" w:space="0" w:color="auto"/>
        <w:bottom w:val="none" w:sz="0" w:space="0" w:color="auto"/>
        <w:right w:val="none" w:sz="0" w:space="0" w:color="auto"/>
      </w:divBdr>
    </w:div>
    <w:div w:id="1763065536">
      <w:bodyDiv w:val="1"/>
      <w:marLeft w:val="0"/>
      <w:marRight w:val="0"/>
      <w:marTop w:val="0"/>
      <w:marBottom w:val="0"/>
      <w:divBdr>
        <w:top w:val="none" w:sz="0" w:space="0" w:color="auto"/>
        <w:left w:val="none" w:sz="0" w:space="0" w:color="auto"/>
        <w:bottom w:val="none" w:sz="0" w:space="0" w:color="auto"/>
        <w:right w:val="none" w:sz="0" w:space="0" w:color="auto"/>
      </w:divBdr>
    </w:div>
    <w:div w:id="1801267520">
      <w:bodyDiv w:val="1"/>
      <w:marLeft w:val="0"/>
      <w:marRight w:val="0"/>
      <w:marTop w:val="0"/>
      <w:marBottom w:val="0"/>
      <w:divBdr>
        <w:top w:val="none" w:sz="0" w:space="0" w:color="auto"/>
        <w:left w:val="none" w:sz="0" w:space="0" w:color="auto"/>
        <w:bottom w:val="none" w:sz="0" w:space="0" w:color="auto"/>
        <w:right w:val="none" w:sz="0" w:space="0" w:color="auto"/>
      </w:divBdr>
    </w:div>
    <w:div w:id="1866283594">
      <w:bodyDiv w:val="1"/>
      <w:marLeft w:val="0"/>
      <w:marRight w:val="0"/>
      <w:marTop w:val="0"/>
      <w:marBottom w:val="0"/>
      <w:divBdr>
        <w:top w:val="none" w:sz="0" w:space="0" w:color="auto"/>
        <w:left w:val="none" w:sz="0" w:space="0" w:color="auto"/>
        <w:bottom w:val="none" w:sz="0" w:space="0" w:color="auto"/>
        <w:right w:val="none" w:sz="0" w:space="0" w:color="auto"/>
      </w:divBdr>
      <w:divsChild>
        <w:div w:id="2099324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947275">
      <w:bodyDiv w:val="1"/>
      <w:marLeft w:val="0"/>
      <w:marRight w:val="0"/>
      <w:marTop w:val="0"/>
      <w:marBottom w:val="0"/>
      <w:divBdr>
        <w:top w:val="none" w:sz="0" w:space="0" w:color="auto"/>
        <w:left w:val="none" w:sz="0" w:space="0" w:color="auto"/>
        <w:bottom w:val="none" w:sz="0" w:space="0" w:color="auto"/>
        <w:right w:val="none" w:sz="0" w:space="0" w:color="auto"/>
      </w:divBdr>
    </w:div>
    <w:div w:id="207828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pace.edu/" TargetMode="External"/><Relationship Id="rId3" Type="http://schemas.openxmlformats.org/officeDocument/2006/relationships/webSettings" Target="webSettings.xml"/><Relationship Id="rId7" Type="http://schemas.openxmlformats.org/officeDocument/2006/relationships/hyperlink" Target="https://www.americanbarfoundation.org/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mericantaxpolicyinstitute.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aw.templ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1439</Words>
  <Characters>8204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Crawford</dc:creator>
  <cp:keywords/>
  <dc:description/>
  <cp:lastModifiedBy>Darryll Jones</cp:lastModifiedBy>
  <cp:revision>2</cp:revision>
  <cp:lastPrinted>2023-01-10T22:39:00Z</cp:lastPrinted>
  <dcterms:created xsi:type="dcterms:W3CDTF">2023-01-19T14:17:00Z</dcterms:created>
  <dcterms:modified xsi:type="dcterms:W3CDTF">2023-01-19T14:17:00Z</dcterms:modified>
</cp:coreProperties>
</file>